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15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__________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2023 года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№ _____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 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b/>
                <w:bCs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 xml:space="preserve">9. 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Количество предоставленных субсидий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 xml:space="preserve">10. 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Количество технологических присоединений к электрическим сетям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 Количество реализованных проектов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15. Ликвидация несанкционированных свалок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 Объем транспортированных и утилизированных автомобильных покрышек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</w:t>
            </w: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60.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61.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62.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63.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64.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1 867 360 180,4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restart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2021 год - 289 218 923,78 рублей, </w:t>
            </w:r>
          </w:p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2022 год - 411 719 239,63 рублей, </w:t>
            </w:r>
          </w:p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2023 год - 309 312 183,0 рублей, </w:t>
            </w:r>
          </w:p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2024 год - 251 310 289,0 рублей, </w:t>
            </w:r>
          </w:p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Style w:val="CharacterStyle5"/>
                <w:rFonts w:ascii="Liberation Serif" w:hAnsi="Liberation Serif"/>
                <w:bCs w:val="false"/>
                <w:sz w:val="20"/>
                <w:szCs w:val="20"/>
              </w:rPr>
              <w:t xml:space="preserve">025 год - 236 054 403,0 рублей, </w:t>
              <w:br/>
              <w:t xml:space="preserve">2026 год - 184 872 571,0 рублей, </w:t>
              <w:br/>
              <w:t>2027 год - 184 872 571,0 рублей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>
                <w:rStyle w:val="CharacterStyle5"/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>
                <w:rStyle w:val="CharacterStyle5"/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2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87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vMerge w:val="continue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698 781 80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2021 год - 96 176 468,2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>2022 год - 139 507 038,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76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- 87 267 600,0 рублей, </w:t>
              <w:br/>
              <w:t xml:space="preserve">2024 год - 90 672 400,0 рублей, </w:t>
              <w:br/>
              <w:t xml:space="preserve">2025 год - 94 246 100,0 рублей, </w:t>
              <w:br/>
              <w:t xml:space="preserve">2026 год - 95 456 100,0 рублей, </w:t>
              <w:br/>
              <w:t>2027 год - 95 456 100,0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178 394 596,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>18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  <w:shd w:fill="auto" w:val="clear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2021 год - 66 836 504,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16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>2022 год - 49 056 492,0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- 12 923 400,0 рублей, </w:t>
              <w:br/>
              <w:t xml:space="preserve">2024 год - 12 921 700,0 рублей, </w:t>
              <w:br/>
              <w:t xml:space="preserve">2025 год - 12 920 700,0 рублей, </w:t>
              <w:br/>
              <w:t xml:space="preserve">2026 год - 11 867 900,0 рублей, </w:t>
              <w:br/>
              <w:t>2027 год - 11 867 900,0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990 183 777,2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2021 год - 126 205 951,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39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>2022 год - 223 155 708,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85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рублей, </w:t>
              <w:br/>
              <w:t xml:space="preserve">2023 год - 209 121 183,0 рублей, </w:t>
              <w:br/>
              <w:t xml:space="preserve">2024 год - 147 716 189,0 рублей, </w:t>
              <w:br/>
              <w:t xml:space="preserve">2025 год - 128 887 603,0 рублей, </w:t>
              <w:br/>
              <w:t xml:space="preserve">2026 год - 77 548 571,0 рублей, </w:t>
              <w:br/>
              <w:t>2027 год - 77 548 571,0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2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0" w:top="552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Style22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1490</TotalTime>
  <Application>LibreOffice/7.3.6.2$Linux_X86_64 LibreOffice_project/30$Build-2</Application>
  <AppVersion>15.0000</AppVersion>
  <Pages>9</Pages>
  <Words>2386</Words>
  <Characters>17960</Characters>
  <CharactersWithSpaces>20182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2023-01-20T15:31:44Z</cp:lastPrinted>
  <dcterms:modified xsi:type="dcterms:W3CDTF">2023-01-20T15:31:47Z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