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exact" w:line="150" w:before="0" w:after="0"/>
        <w:contextualSpacing/>
        <w:rPr>
          <w:rFonts w:ascii="Liberation Serif" w:hAnsi="Liberation Serif"/>
          <w:highlight w:val="none"/>
          <w:shd w:fill="auto" w:val="clear"/>
        </w:rPr>
      </w:pPr>
      <w:r>
        <w:rPr>
          <w:rFonts w:ascii="Liberation Serif" w:hAnsi="Liberation Serif"/>
          <w:shd w:fill="auto" w:val="clear"/>
        </w:rPr>
      </w:r>
    </w:p>
    <w:tbl>
      <w:tblPr>
        <w:tblW w:w="98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52"/>
        <w:gridCol w:w="36"/>
        <w:gridCol w:w="2997"/>
        <w:gridCol w:w="1241"/>
        <w:gridCol w:w="5343"/>
      </w:tblGrid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5216" w:hanging="0"/>
              <w:contextualSpacing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Liberation Serif;Times New Roma" w:ascii="Liberation Serif" w:hAnsi="Liberation Serif"/>
                <w:b/>
                <w:bCs/>
                <w:color w:val="000000"/>
                <w:shd w:fill="auto" w:val="clear"/>
              </w:rPr>
              <w:t xml:space="preserve">Приложение </w:t>
            </w:r>
            <w:r>
              <w:rPr>
                <w:rFonts w:cs="Liberation Serif;Times New Roma" w:ascii="Liberation Serif" w:hAnsi="Liberation Serif"/>
                <w:b/>
                <w:bCs/>
                <w:color w:val="000000"/>
                <w:shd w:fill="auto" w:val="clear"/>
              </w:rPr>
              <w:t>№1</w:t>
            </w:r>
          </w:p>
          <w:p>
            <w:pPr>
              <w:pStyle w:val="Normal"/>
              <w:widowControl w:val="false"/>
              <w:spacing w:before="0" w:after="0"/>
              <w:ind w:left="5216" w:hanging="0"/>
              <w:contextualSpacing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Liberation Serif;Times New Roma" w:ascii="Liberation Serif" w:hAnsi="Liberation Serif"/>
                <w:b w:val="false"/>
                <w:bCs w:val="false"/>
                <w:color w:val="000000"/>
                <w:shd w:fill="auto" w:val="clear"/>
              </w:rPr>
              <w:t>к</w:t>
            </w:r>
            <w:r>
              <w:rPr>
                <w:rFonts w:cs="Liberation Serif;Times New Roma" w:ascii="Liberation Serif" w:hAnsi="Liberation Serif"/>
                <w:b/>
                <w:bCs/>
                <w:color w:val="000000"/>
                <w:shd w:fill="auto" w:val="clear"/>
              </w:rPr>
              <w:t xml:space="preserve"> </w:t>
            </w:r>
            <w:r>
              <w:rPr>
                <w:rFonts w:cs="Liberation Serif;Times New Roma" w:ascii="Liberation Serif" w:hAnsi="Liberation Serif"/>
                <w:color w:val="000000"/>
                <w:shd w:fill="auto" w:val="clear"/>
              </w:rPr>
              <w:t>постановлению администрации</w:t>
            </w:r>
          </w:p>
          <w:p>
            <w:pPr>
              <w:pStyle w:val="Normal"/>
              <w:widowControl w:val="false"/>
              <w:spacing w:before="0" w:after="0"/>
              <w:ind w:left="5216" w:hanging="0"/>
              <w:contextualSpacing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Liberation Serif;Times New Roma" w:ascii="Liberation Serif" w:hAnsi="Liberation Serif"/>
                <w:color w:val="000000"/>
                <w:shd w:fill="auto" w:val="clear"/>
              </w:rPr>
              <w:t>Камышловского городского округа</w:t>
            </w:r>
          </w:p>
          <w:p>
            <w:pPr>
              <w:pStyle w:val="Normal"/>
              <w:widowControl w:val="false"/>
              <w:spacing w:before="0" w:after="0"/>
              <w:ind w:left="5216" w:hanging="0"/>
              <w:contextualSpacing/>
              <w:textAlignment w:val="baseline"/>
              <w:rPr>
                <w:highlight w:val="none"/>
                <w:shd w:fill="auto" w:val="clear"/>
              </w:rPr>
            </w:pPr>
            <w:r>
              <w:rPr>
                <w:rFonts w:cs="Liberation Serif;Times New Roma" w:ascii="Liberation Serif" w:hAnsi="Liberation Serif"/>
                <w:color w:val="000000"/>
                <w:shd w:fill="auto" w:val="clear"/>
              </w:rPr>
              <w:t>от ___________2023 года</w:t>
            </w:r>
            <w:r>
              <w:rPr>
                <w:rFonts w:eastAsia="Times New Roman" w:cs="Liberation Serif;Times New Roma" w:ascii="Liberation Serif" w:hAnsi="Liberation Serif"/>
                <w:color w:val="000000"/>
                <w:shd w:fill="auto" w:val="clear"/>
                <w:lang w:eastAsia="ru-RU" w:bidi="ar-SA"/>
              </w:rPr>
              <w:t xml:space="preserve"> </w:t>
            </w:r>
            <w:r>
              <w:rPr>
                <w:rFonts w:cs="Liberation Serif;Times New Roma" w:ascii="Liberation Serif" w:hAnsi="Liberation Serif"/>
                <w:color w:val="000000"/>
                <w:shd w:fill="auto" w:val="clear"/>
              </w:rPr>
              <w:t>№ _____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4"/>
                <w:szCs w:val="24"/>
                <w:shd w:fill="auto" w:val="clear"/>
              </w:rPr>
            </w:r>
          </w:p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>
                <w:rStyle w:val="CharacterStyle0"/>
                <w:rFonts w:ascii="Liberation Serif" w:hAnsi="Liberation Serif" w:eastAsia="Calibri"/>
                <w:sz w:val="24"/>
                <w:szCs w:val="24"/>
                <w:shd w:fill="auto" w:val="clear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shd w:fill="auto" w:val="clear"/>
              </w:rPr>
            </w:r>
          </w:p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0"/>
                <w:rFonts w:eastAsia="Calibri" w:ascii="Liberation Serif" w:hAnsi="Liberation Serif"/>
                <w:sz w:val="24"/>
                <w:szCs w:val="24"/>
                <w:shd w:fill="auto" w:val="clear"/>
              </w:rPr>
              <w:t>ПАСПОРТ</w:t>
            </w:r>
          </w:p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>
                <w:rStyle w:val="CharacterStyle0"/>
                <w:rFonts w:ascii="Liberation Serif" w:hAnsi="Liberation Serif" w:eastAsia="Calibri"/>
                <w:sz w:val="24"/>
                <w:szCs w:val="24"/>
                <w:shd w:fill="auto" w:val="clear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shd w:fill="auto" w:val="clear"/>
              </w:rPr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0"/>
                <w:rFonts w:eastAsia="Calibri" w:ascii="Liberation Serif" w:hAnsi="Liberation Serif"/>
                <w:sz w:val="24"/>
                <w:szCs w:val="24"/>
                <w:shd w:fill="auto" w:val="clear"/>
              </w:rPr>
              <w:t>муниципальной программы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0"/>
                <w:rFonts w:eastAsia="Calibri" w:ascii="Liberation Serif" w:hAnsi="Liberation Serif"/>
                <w:sz w:val="24"/>
                <w:szCs w:val="24"/>
                <w:shd w:fill="auto" w:val="clear"/>
              </w:rPr>
              <w:t>«Развитие социально - экономического комплекса Камышловского городского округа на 2021-2027 годы»</w:t>
            </w:r>
          </w:p>
        </w:tc>
      </w:tr>
      <w:tr>
        <w:trPr>
          <w:trHeight w:val="53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sz w:val="20"/>
                <w:szCs w:val="20"/>
                <w:shd w:fill="auto" w:val="clear"/>
              </w:rPr>
              <w:t>Ответственный исполнитель муниципальной программы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sz w:val="20"/>
                <w:szCs w:val="20"/>
                <w:shd w:fill="auto" w:val="clear"/>
              </w:rPr>
              <w:t>Администрация Камышловского городского округа</w:t>
            </w:r>
          </w:p>
        </w:tc>
      </w:tr>
      <w:tr>
        <w:trPr>
          <w:trHeight w:val="6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sz w:val="20"/>
                <w:szCs w:val="20"/>
                <w:shd w:fill="auto" w:val="clear"/>
              </w:rPr>
              <w:t>Сроки реализации муниципальной программы</w:t>
            </w:r>
          </w:p>
        </w:tc>
        <w:tc>
          <w:tcPr>
            <w:tcW w:w="1241" w:type="dxa"/>
            <w:tcBorders>
              <w:top w:val="single" w:sz="6" w:space="0" w:color="000000"/>
            </w:tcBorders>
            <w:shd w:color="auto" w:fill="auto" w:val="clear"/>
          </w:tcPr>
          <w:p>
            <w:pPr>
              <w:pStyle w:val="ParagraphStyle3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3"/>
                <w:rFonts w:eastAsia="Calibri" w:ascii="Liberation Serif" w:hAnsi="Liberation Serif"/>
                <w:sz w:val="20"/>
                <w:szCs w:val="20"/>
                <w:shd w:fill="auto" w:val="clear"/>
              </w:rPr>
              <w:t>2021 -</w:t>
            </w:r>
          </w:p>
        </w:tc>
        <w:tc>
          <w:tcPr>
            <w:tcW w:w="5343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sz w:val="20"/>
                <w:szCs w:val="20"/>
                <w:shd w:fill="auto" w:val="clear"/>
              </w:rPr>
              <w:t>2027 годы</w:t>
            </w:r>
          </w:p>
        </w:tc>
      </w:tr>
      <w:tr>
        <w:trPr>
          <w:trHeight w:val="10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Цели и задачи муниципальной программы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1.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ведение единых методологических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1.1. Разработка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>
        <w:trPr>
          <w:trHeight w:val="6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1.2. Внедрение геоинформационной системы обеспечения градостроительной деятельности</w:t>
            </w:r>
          </w:p>
        </w:tc>
      </w:tr>
      <w:tr>
        <w:trPr>
          <w:trHeight w:val="6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1.3.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</w:tr>
      <w:tr>
        <w:trPr>
          <w:trHeight w:val="54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1.4. Проведение землеустроительных работ по описанию местоположения границ территориальных зон</w:t>
            </w:r>
          </w:p>
        </w:tc>
      </w:tr>
      <w:tr>
        <w:trPr>
          <w:trHeight w:val="5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1.5. Разработка проектной документации в целях сохранения объектов культурного наследия</w:t>
            </w:r>
          </w:p>
        </w:tc>
      </w:tr>
      <w:tr>
        <w:trPr>
          <w:trHeight w:val="9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2. Организация регулярных перевозок пассажиров на территории Камышловского городского округа. Повышение качества транспортного обслуживания.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2.1. Создание эффективных маршрутов, связывающих крупные микрорайоны проживания жителей города. Обеспечение приоритета в движении маршрутных транспортных средств.</w:t>
            </w:r>
          </w:p>
        </w:tc>
      </w:tr>
      <w:tr>
        <w:trPr>
          <w:trHeight w:val="81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2.2.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</w:t>
            </w:r>
          </w:p>
        </w:tc>
      </w:tr>
      <w:tr>
        <w:trPr>
          <w:trHeight w:val="17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3. Развитие жилищно-коммунального комплекса на территории Камышловского городского округа.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3.1. Проведение стратегического мониторинга и анализа ключевых показателей в сфере энергетики и жилищно-коммунального хозяйства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4.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4.1. Оптимизация развития коммунальной инфраструктуры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5. Совершенствование системы благоустройства и озеленения Камышловского городского округа</w:t>
            </w:r>
          </w:p>
        </w:tc>
      </w:tr>
      <w:tr>
        <w:trPr>
          <w:trHeight w:val="26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5.1. Повышение уровня благоустройства города</w:t>
            </w:r>
          </w:p>
        </w:tc>
      </w:tr>
      <w:tr>
        <w:trPr>
          <w:trHeight w:val="36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5.2. Улучшение санитарного и эстетического состояния города</w:t>
            </w:r>
          </w:p>
        </w:tc>
      </w:tr>
      <w:tr>
        <w:trPr>
          <w:trHeight w:val="158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6.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>
        <w:trPr>
          <w:trHeight w:val="33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6.1. Улучшение санитарного и экологического состояния города</w:t>
            </w:r>
          </w:p>
        </w:tc>
      </w:tr>
      <w:tr>
        <w:trPr>
          <w:trHeight w:val="8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7.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>
        <w:trPr>
          <w:trHeight w:val="126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7.1.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содержания светофорных объектов в надлежащем виде</w:t>
            </w:r>
          </w:p>
        </w:tc>
      </w:tr>
      <w:tr>
        <w:trPr>
          <w:trHeight w:val="98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8. Повышение уровня и качества жизни отдельных категорий граждан и социально ориентированных некоммерческих организаций, путем предоставления различных мер социальной поддержки и субсидий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8.1. Оказание дополнительных мер социальной поддержки, стимулирующего характера для повышения качества жизни отдельных категорий граждан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8.2. Поддержка социально ориентированных некоммерческих организаций на территории Камышловского городского округа</w:t>
            </w:r>
          </w:p>
        </w:tc>
      </w:tr>
      <w:tr>
        <w:trPr>
          <w:trHeight w:val="10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9. Содействие развитию малого и среднего предпринимательства на территории Камышловского городского округа и повышение их конкурентоспособности, обеспечение занятости и самозанятости населения Камышловского городского округа</w:t>
            </w:r>
          </w:p>
        </w:tc>
      </w:tr>
      <w:tr>
        <w:trPr>
          <w:trHeight w:val="56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9.1. Совершенствование внешней среды развития малого и среднего предпринимательства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9.2. Финансовая поддержка субъектов малого и среднего предпринимательства</w:t>
            </w:r>
          </w:p>
        </w:tc>
      </w:tr>
      <w:tr>
        <w:trPr>
          <w:trHeight w:val="5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9.3. Развитие потребительского рынка и услуг на территории Камышловского городского округа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9.4. Поощрение субъектов малого и среднего предпринимательства, внесших наиболее значимый вклад в развитие Камышловского городского округа</w:t>
            </w:r>
          </w:p>
        </w:tc>
      </w:tr>
      <w:tr>
        <w:trPr>
          <w:trHeight w:val="17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10. За счет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выполнять задачи по предназначению (обеспечить защиту населения от опасностей, возникающих при введении военных действий или вследствие этих действий, от чрезвычайных ситуаций природного и техногенного характера)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10.1. Перевод системы оповещения руководящего состава РСЧС и всех категорий населения на АПК "Грифон". Содержание системы в рабочем состоянии.</w:t>
            </w:r>
          </w:p>
        </w:tc>
      </w:tr>
      <w:tr>
        <w:trPr>
          <w:trHeight w:val="6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10.2. 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>
        <w:trPr>
          <w:trHeight w:val="4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10.3. Создать резерв средств индивидуальной защиты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10.4. 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>
        <w:trPr>
          <w:trHeight w:val="61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10.5. Совершенствовать подготовку и содержание в готовности необходимых сил и средств для защиты населения и территорий от ЧС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10.6. 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>
        <w:trPr>
          <w:trHeight w:val="60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10.7. Готовность к приему эвакуируемого населения, материальных и культурных ценностей в безопасные районы</w:t>
            </w:r>
          </w:p>
        </w:tc>
      </w:tr>
      <w:tr>
        <w:trPr>
          <w:trHeight w:val="50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10.8. Создание резервов финансовых и материальных ресурсов для ликвидации ЧС</w:t>
            </w:r>
          </w:p>
        </w:tc>
      </w:tr>
      <w:tr>
        <w:trPr>
          <w:trHeight w:val="54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10.9. Обеспечение деятельности ЕДДС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11.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      </w:r>
          </w:p>
        </w:tc>
      </w:tr>
      <w:tr>
        <w:trPr>
          <w:trHeight w:val="111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11.1.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 Уменьшение размеров материальных потерь от огня</w:t>
            </w:r>
          </w:p>
        </w:tc>
      </w:tr>
      <w:tr>
        <w:trPr>
          <w:trHeight w:val="39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11.2. Улучшение материально-технической базы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12.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</w:t>
            </w:r>
          </w:p>
        </w:tc>
      </w:tr>
      <w:tr>
        <w:trPr>
          <w:trHeight w:val="10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12.1.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>
        <w:trPr>
          <w:trHeight w:val="58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12.2.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безопасности,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12.3.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13. Развитие информационного потенциала Архивного фонда Российской Федерации на территории Камышловского городского округа и повышение безопасности хранения архивных документов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13.1.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13.2.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14. Обеспечение информационной открытости органов местного самоуправления Камышловского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14.1. Организация информирования населения Камышловского городского округа через средства массовой информации о деятельности органов местного самоуправления,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в реализации федеральных, региональных программ, проектов и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15. Обеспечение реализации мероприятий муниципальной программы "Развитие социально - экономического комплекса Камышловского городского округа на 2021-2027 годы"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15.1.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15.2.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15.3. Обеспечение исполнения бюджетной сметы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16. Повышение качества условий проживания населения Камышловского городского округа за счет формирования благоприятной среды.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16.1. Улучшение условий проживания граждан за счет реализации мероприятий по проведению капитального ремонта общего имущества в многоквартирных домах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17. Обеспечение устойчивого сокращения непригодного для проживания жилищного фонда с расселением к 1 сентября 2025 года не менее 9 025,50 кв. метров аварийного жилищного фонда, в котором проживает не менее 652 человека.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17.1. Переселение граждан из многоквартирных домов,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реконструкции. Минимизация издержек по содержанию аварийных домов и сокращению сроков введения земельных участков, освободившихся после сноса домов, в хозяйственный оборот. Стимулирование строительного комплекса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18.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>
        <w:trPr>
          <w:trHeight w:val="5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18.1.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Цель 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Задача 19.1.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  <w:t>Цель 20. Обеспечение доступности качественного общего образования, соответствующего требованиям инновационного социально-экономического развития Камышловского городского округа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  <w:t>Задача 20.1. Обеспечение детей современными условиями при реализации государственного стандарта общего образования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Перечень подпрограмм муниципальной программы</w:t>
            </w:r>
          </w:p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(при их наличии)</w:t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sz w:val="20"/>
                <w:szCs w:val="20"/>
                <w:shd w:fill="auto" w:val="clear"/>
              </w:rPr>
              <w:t>1. Стимулирование развития инфраструктуры Камышловского городского округа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2. Развитие транспортного комплекса на территории Камышловского городского округа</w:t>
            </w:r>
          </w:p>
        </w:tc>
      </w:tr>
      <w:tr>
        <w:trPr>
          <w:trHeight w:val="5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3. Развитие жилищно-коммунального хозяйства и повышение энергетической эффективности Камышловского городского округа</w:t>
            </w:r>
          </w:p>
        </w:tc>
      </w:tr>
      <w:tr>
        <w:trPr>
          <w:trHeight w:val="4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4. Развитие газификации на территории Камышловского городского округа</w:t>
            </w:r>
          </w:p>
        </w:tc>
      </w:tr>
      <w:tr>
        <w:trPr>
          <w:trHeight w:val="29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5. Благоустройство и озеленение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6. Охрана окружающей среды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7. Обеспечение мероприятий по повышению безопасности дорожного движения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8. Социальная поддержка отдельных категорий граждан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9. Развитие малого и среднего предпринимательства на территории Камышловского городского округа</w:t>
            </w:r>
          </w:p>
        </w:tc>
      </w:tr>
      <w:tr>
        <w:trPr>
          <w:trHeight w:val="99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10. 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11. Пожарная безопасность на территории Камышловского городского округа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12. Обеспечение общественной безопасности на территории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13. Обеспечение деятельности по комплектованию, учету, хранению и использованию архивных документов</w:t>
            </w:r>
          </w:p>
        </w:tc>
      </w:tr>
      <w:tr>
        <w:trPr>
          <w:trHeight w:val="56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14. Информационное обеспечение деятельности органов местного самоуправления Камышловского городского округа</w:t>
            </w:r>
          </w:p>
        </w:tc>
      </w:tr>
      <w:tr>
        <w:trPr>
          <w:trHeight w:val="86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15. Обеспечение реализации мероприятий муниципальной программы "Развитие социально-экономического комплекса Камышловского городского округа на 2021-2027 годы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16. Ремонт муниципального жилого фонда на территории Камышловского городского округа</w:t>
            </w:r>
          </w:p>
        </w:tc>
      </w:tr>
      <w:tr>
        <w:trPr>
          <w:trHeight w:val="6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17. Переселение граждан на территории Камышловского городского округа из аварийного жилищного фонда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18. Обеспечение жильем молодых семей</w:t>
            </w:r>
          </w:p>
        </w:tc>
      </w:tr>
      <w:tr>
        <w:trPr>
          <w:trHeight w:val="4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2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  <w:t>20. Модернизация школьных систем образования</w:t>
            </w:r>
          </w:p>
        </w:tc>
      </w:tr>
      <w:tr>
        <w:trPr>
          <w:trHeight w:val="29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7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7"/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8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8"/>
                <w:rFonts w:eastAsia="Calibri" w:ascii="Liberation Serif" w:hAnsi="Liberation Serif"/>
                <w:sz w:val="20"/>
                <w:szCs w:val="20"/>
                <w:shd w:fill="auto" w:val="clear"/>
              </w:rPr>
              <w:t>1. Площадь территорий, предназначенных для развития жилищного строительства, на которых разработаны проекты планировки</w:t>
            </w:r>
          </w:p>
        </w:tc>
      </w:tr>
      <w:tr>
        <w:trPr>
          <w:trHeight w:val="6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2. Площадь введенного жилья на территории Камышловского городского округа</w:t>
            </w:r>
          </w:p>
        </w:tc>
      </w:tr>
      <w:tr>
        <w:trPr>
          <w:trHeight w:val="6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3. Уровень внедрения геоинформационной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4. 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5. Обеспеченность актуализированными документами территориального планирования и градостроительного зонирования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6. Подготовка проектной документации</w:t>
            </w:r>
          </w:p>
        </w:tc>
      </w:tr>
      <w:tr>
        <w:trPr>
          <w:trHeight w:val="3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7. Количество муниципальных маршрутов</w:t>
            </w:r>
          </w:p>
        </w:tc>
      </w:tr>
      <w:tr>
        <w:trPr>
          <w:trHeight w:val="45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8. Объем финансирования для обеспечения нормативов Социального стандарта транспортного обслуживания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9. Протяженность отремонтированных (модернизированных) инженерных сетей, объектов организации коммунального комплекса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10. Количество муниципальных унитарных предприятий, которым предоставлена поддержка (субсидии)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11. Обеспечение природным газом объектов коммунального комплекса Камышловского городского округа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sz w:val="20"/>
                <w:szCs w:val="20"/>
              </w:rPr>
              <w:t>12</w:t>
            </w:r>
            <w:r>
              <w:rPr/>
              <w:t xml:space="preserve">. </w:t>
            </w:r>
            <w:r>
              <w:rPr>
                <w:rStyle w:val="CharacterStyle10"/>
                <w:sz w:val="20"/>
                <w:szCs w:val="20"/>
              </w:rPr>
              <w:t>Создание дополнительных мощностей сетей газораспределения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13. Количество светоточек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14. ремонт фонтана в Центральном городском сквере</w:t>
            </w:r>
          </w:p>
        </w:tc>
      </w:tr>
      <w:tr>
        <w:trPr>
          <w:trHeight w:val="37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15. Количество обустроенных детских площадок</w:t>
            </w:r>
          </w:p>
        </w:tc>
      </w:tr>
      <w:tr>
        <w:trPr>
          <w:trHeight w:val="31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16. Количество предоставленных субсидий</w:t>
            </w:r>
          </w:p>
        </w:tc>
      </w:tr>
      <w:tr>
        <w:trPr>
          <w:trHeight w:val="2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17. Количество технологических присоединений к электрическим сетям</w:t>
            </w:r>
          </w:p>
        </w:tc>
      </w:tr>
      <w:tr>
        <w:trPr>
          <w:trHeight w:val="4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18. Количество реализованных проектов</w:t>
            </w:r>
          </w:p>
        </w:tc>
      </w:tr>
      <w:tr>
        <w:trPr>
          <w:trHeight w:val="3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19. Ремонт мест накопления ТКО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20. Создание контейнерных площадок (мест накопления ТКО)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21. Количество отловленных животных без владельцев, обитающими на территории Камышловского городского округа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22. Ликвидация несанкционированных свалок</w:t>
            </w:r>
          </w:p>
        </w:tc>
      </w:tr>
      <w:tr>
        <w:trPr>
          <w:trHeight w:val="52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23. Объем транспортированных и утилизированных автомобильных покрышек</w:t>
            </w:r>
          </w:p>
        </w:tc>
      </w:tr>
      <w:tr>
        <w:trPr>
          <w:trHeight w:val="65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24. Усиление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62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25. Доля усиления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3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26. Протяженность обслуживаемых дорог</w:t>
            </w:r>
          </w:p>
        </w:tc>
      </w:tr>
      <w:tr>
        <w:trPr>
          <w:trHeight w:val="29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27. Количество обслуживаемых светофорных объектов</w:t>
            </w:r>
          </w:p>
        </w:tc>
      </w:tr>
      <w:tr>
        <w:trPr>
          <w:trHeight w:val="3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28. Количество граждан, получивших льготу (бани)</w:t>
            </w:r>
          </w:p>
        </w:tc>
      </w:tr>
      <w:tr>
        <w:trPr>
          <w:trHeight w:val="4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29. Количество граждан, получивших вознаграждение (почетные граждане города Камышлова)</w:t>
            </w:r>
          </w:p>
        </w:tc>
      </w:tr>
      <w:tr>
        <w:trPr>
          <w:trHeight w:val="4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30. Количество граждан, получивших вознаграждение (председатели уличных комитетов)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31. Количество граждан (организаций), получивших памятные подарки</w:t>
            </w:r>
          </w:p>
        </w:tc>
      </w:tr>
      <w:tr>
        <w:trPr>
          <w:trHeight w:val="8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32. Количество граждан, получающих субсидии СО</w:t>
            </w:r>
          </w:p>
        </w:tc>
      </w:tr>
      <w:tr>
        <w:trPr>
          <w:trHeight w:val="38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33. Количество граждан, получающих компенсации расходов СО</w:t>
            </w:r>
          </w:p>
        </w:tc>
      </w:tr>
      <w:tr>
        <w:trPr>
          <w:trHeight w:val="28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34. Количество граждан, получающих компенсации расходов РФ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35. Количество граждан, получивших меру социальной поддержки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36. Количество мероприятий (для граждан старшего поколения)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37. Количество граждан, получающих компенсации (кап.ремонт)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38. Количество граждан, получивших вознаграждение (знак отличия)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39. Количество социально ориентированных некоммерческих организаций, получивших поддержку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40. Количество субъектов малого и среднего предпринимательства, (в КГО в том числе самозанятых граждан, зафиксировавших свой статус с учетом введения налогового режима для самозанятых)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41. Создание новых рабочих мест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42. Организация и проведение ярмарок с участием субъектов малого и среднего предпринимательства и производителей сельскохозяйственной продукции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43. Количество организованных и проведенных мероприятий для субъектов малого и среднего предпринимательства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44. Процент охвата оповещения всех категорий населения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45. Доля укрываемого населения в защитных сооружениях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46. Наличие средств индивидуальной защиты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47. Доля руководящего состава РСЧС, специалистов органов управления и населения прошедших подготовку в области защиты населения и территорий</w:t>
            </w:r>
          </w:p>
        </w:tc>
      </w:tr>
      <w:tr>
        <w:trPr>
          <w:trHeight w:val="37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48. Количество подразделений</w:t>
            </w:r>
          </w:p>
        </w:tc>
      </w:tr>
      <w:tr>
        <w:trPr>
          <w:trHeight w:val="3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49. Объемы запасов</w:t>
            </w:r>
          </w:p>
        </w:tc>
      </w:tr>
      <w:tr>
        <w:trPr>
          <w:trHeight w:val="33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50. Готовность эвакоорганов</w:t>
            </w:r>
          </w:p>
        </w:tc>
      </w:tr>
      <w:tr>
        <w:trPr>
          <w:trHeight w:val="40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51. Объем запасов резерва</w:t>
            </w:r>
          </w:p>
        </w:tc>
      </w:tr>
      <w:tr>
        <w:trPr>
          <w:trHeight w:val="36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52. Качество приема, обработки и передачи информации</w:t>
            </w:r>
          </w:p>
        </w:tc>
      </w:tr>
      <w:tr>
        <w:trPr>
          <w:trHeight w:val="4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53. Повышение уровня пожарной защиты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54 Оснащение пожарным инвентарем, оборудование</w:t>
            </w:r>
          </w:p>
        </w:tc>
      </w:tr>
      <w:tr>
        <w:trPr>
          <w:trHeight w:val="54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55.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56. 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57. Доля охвата населения КГО информационно-пропагандистскими мероприятиями по разъяснению сущности терроризма и его общественной опасности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58. Количество выпущенных (размещенных) видео-аудио роликов и печатной продукции по вопросам профилактики терроризма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59. Количество изготовленных и размещенных в средствах массовой информации (включая официальный сайт  муниципального образования) информационных материалов по вопросам профилактики терроризма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60. Доля проведенных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РФ, находящихся в муниципальной собственности или в ведении органов местного самоуправления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61. Доля принятых на постоянное хранение архивных документов от общего количества документов Архивного фонда РФ, подлежащих приему в установленные законодательством сроки</w:t>
            </w:r>
          </w:p>
        </w:tc>
      </w:tr>
      <w:tr>
        <w:trPr>
          <w:trHeight w:val="32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62. Количество единиц хранения архивных документов, относящихся к государственной собственности Свердловской области, хранящихся в архивах Камышловского городского округа</w:t>
            </w:r>
          </w:p>
        </w:tc>
      </w:tr>
      <w:tr>
        <w:trPr>
          <w:trHeight w:val="6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63. Доля НПА и иных материалов, подлежащих обязательному опубликованию</w:t>
            </w:r>
          </w:p>
        </w:tc>
      </w:tr>
      <w:tr>
        <w:trPr>
          <w:trHeight w:val="3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64. Количество составленных протоколов</w:t>
            </w:r>
          </w:p>
        </w:tc>
      </w:tr>
      <w:tr>
        <w:trPr>
          <w:trHeight w:val="37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65. Процент реализации</w:t>
            </w:r>
          </w:p>
        </w:tc>
      </w:tr>
      <w:tr>
        <w:trPr>
          <w:trHeight w:val="34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66. Исполнение бюджетной сметы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67. Уплата взноса нанимателями на капитальный ремонт общего имущества, соразмерно занимаемой площади в муниципальных квартирах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68. Количество жилых помещений приобретенных для переселения граждан из аварийного жилого фонда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69. Доля приобретенных жилых помещений от общего количества жилых помещений, планируемых к приобретению для переселения граждан из аварийного жилого фонда.</w:t>
            </w:r>
          </w:p>
        </w:tc>
      </w:tr>
      <w:tr>
        <w:trPr>
          <w:trHeight w:val="3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70. Количество молодых семей, получивших социальные выплаты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71.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72. Количество молодых семей, получивших региональные социальные выплаты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73. Доля молодых семей, получивших социальную выплату от численности молодых семей, состоявших на учете</w:t>
            </w:r>
          </w:p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>
                <w:rStyle w:val="CharacterStyle10"/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  <w:shd w:fill="auto" w:val="clear"/>
              </w:rPr>
              <w:t>74. 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>
                <w:rStyle w:val="CharacterStyle10"/>
                <w:rFonts w:ascii="Liberation Serif" w:hAnsi="Liberation Serif" w:eastAsia="Calibri"/>
                <w:sz w:val="20"/>
                <w:szCs w:val="20"/>
                <w:shd w:fill="auto" w:val="clear"/>
              </w:rPr>
            </w:pPr>
            <w:r>
              <w:rPr>
                <w:rFonts w:eastAsia="Calibri" w:ascii="Liberation Serif" w:hAnsi="Liberation Serif"/>
                <w:sz w:val="20"/>
                <w:szCs w:val="20"/>
                <w:shd w:fill="auto" w:val="clear"/>
              </w:rPr>
            </w:r>
          </w:p>
        </w:tc>
      </w:tr>
      <w:tr>
        <w:trPr>
          <w:trHeight w:val="360" w:hRule="atLeast"/>
        </w:trPr>
        <w:tc>
          <w:tcPr>
            <w:tcW w:w="2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sz w:val="20"/>
                <w:szCs w:val="20"/>
                <w:shd w:fill="auto" w:val="clear"/>
              </w:rPr>
              <w:t>Обьем финансирования</w:t>
            </w:r>
          </w:p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6"/>
                <w:rFonts w:eastAsia="Calibri" w:ascii="Liberation Serif" w:hAnsi="Liberation Serif"/>
                <w:sz w:val="20"/>
                <w:szCs w:val="20"/>
                <w:shd w:fill="auto" w:val="clear"/>
              </w:rPr>
              <w:t>муниципальной</w:t>
            </w:r>
          </w:p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6"/>
                <w:rFonts w:eastAsia="Calibri" w:ascii="Liberation Serif" w:hAnsi="Liberation Serif"/>
                <w:sz w:val="20"/>
                <w:szCs w:val="20"/>
                <w:shd w:fill="auto" w:val="clear"/>
              </w:rPr>
              <w:t>программы по годам реализации, рублей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ВСЕГО:</w:t>
            </w:r>
          </w:p>
        </w:tc>
      </w:tr>
      <w:tr>
        <w:trPr>
          <w:trHeight w:val="360" w:hRule="atLeast"/>
        </w:trPr>
        <w:tc>
          <w:tcPr>
            <w:tcW w:w="2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b/>
                <w:bCs/>
                <w:sz w:val="20"/>
                <w:szCs w:val="20"/>
              </w:rPr>
              <w:t>3 720 286 085,82 рублей</w:t>
            </w:r>
          </w:p>
        </w:tc>
      </w:tr>
      <w:tr>
        <w:trPr>
          <w:trHeight w:val="388" w:hRule="atLeast"/>
        </w:trPr>
        <w:tc>
          <w:tcPr>
            <w:tcW w:w="2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sz w:val="20"/>
                <w:szCs w:val="20"/>
              </w:rPr>
              <w:t xml:space="preserve">2021 год - 289 218 923,78 рублей, </w:t>
              <w:br/>
              <w:t xml:space="preserve">2022 год - 411 719 239,63 рублей, </w:t>
              <w:br/>
              <w:t xml:space="preserve">2023 год - 1 332 171 984,92 рублей, </w:t>
              <w:br/>
              <w:t xml:space="preserve">2024 год - 831 059 597,17 рублей, </w:t>
              <w:br/>
              <w:t xml:space="preserve">2025 год - 486 371 198,32 рублей, </w:t>
              <w:br/>
              <w:t xml:space="preserve">2026 год - 184 872 571,00 рублей, </w:t>
              <w:br/>
              <w:t>2027 год - 184 872 571,00 рублей</w:t>
            </w:r>
          </w:p>
        </w:tc>
      </w:tr>
      <w:tr>
        <w:trPr>
          <w:trHeight w:val="404" w:hRule="atLeast"/>
        </w:trPr>
        <w:tc>
          <w:tcPr>
            <w:tcW w:w="2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</w:tr>
      <w:tr>
        <w:trPr>
          <w:trHeight w:val="404" w:hRule="atLeast"/>
        </w:trPr>
        <w:tc>
          <w:tcPr>
            <w:tcW w:w="2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</w:tr>
      <w:tr>
        <w:trPr>
          <w:trHeight w:val="360" w:hRule="atLeast"/>
        </w:trPr>
        <w:tc>
          <w:tcPr>
            <w:tcW w:w="2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  <w:shd w:fill="auto" w:val="clear"/>
              </w:rPr>
              <w:t>из них:</w:t>
            </w:r>
          </w:p>
        </w:tc>
      </w:tr>
      <w:tr>
        <w:trPr>
          <w:trHeight w:val="360" w:hRule="atLeast"/>
        </w:trPr>
        <w:tc>
          <w:tcPr>
            <w:tcW w:w="2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областной бюджет:</w:t>
            </w:r>
          </w:p>
        </w:tc>
      </w:tr>
      <w:tr>
        <w:trPr>
          <w:trHeight w:val="360" w:hRule="atLeast"/>
        </w:trPr>
        <w:tc>
          <w:tcPr>
            <w:tcW w:w="2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b/>
                <w:bCs/>
                <w:sz w:val="20"/>
                <w:szCs w:val="20"/>
              </w:rPr>
              <w:t>1 669 346 954,56 рублей</w:t>
            </w:r>
          </w:p>
        </w:tc>
      </w:tr>
      <w:tr>
        <w:trPr>
          <w:trHeight w:val="360" w:hRule="atLeast"/>
        </w:trPr>
        <w:tc>
          <w:tcPr>
            <w:tcW w:w="2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sz w:val="20"/>
                <w:szCs w:val="20"/>
              </w:rPr>
              <w:t xml:space="preserve">2021 год - 96 176 468,23 рублей, </w:t>
              <w:br/>
              <w:t xml:space="preserve">2022 год - 139 507 038,76 рублей, </w:t>
              <w:br/>
              <w:t xml:space="preserve">2023 год - 641 409 347,57 рублей, </w:t>
              <w:br/>
              <w:t xml:space="preserve">2024 год - 359 206 100,00 рублей, </w:t>
              <w:br/>
              <w:t xml:space="preserve">2025 год - 242 135 800,00 рублей, </w:t>
              <w:br/>
              <w:t xml:space="preserve">2026 год - 95 456 100,00 рублей, </w:t>
              <w:br/>
              <w:t>2027 год - 95 456 100,00 рублей</w:t>
            </w:r>
          </w:p>
        </w:tc>
      </w:tr>
      <w:tr>
        <w:trPr>
          <w:trHeight w:val="360" w:hRule="atLeast"/>
        </w:trPr>
        <w:tc>
          <w:tcPr>
            <w:tcW w:w="2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федеральный бюджет</w:t>
            </w:r>
          </w:p>
        </w:tc>
      </w:tr>
      <w:tr>
        <w:trPr>
          <w:trHeight w:val="360" w:hRule="atLeast"/>
        </w:trPr>
        <w:tc>
          <w:tcPr>
            <w:tcW w:w="2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b/>
                <w:bCs/>
                <w:sz w:val="20"/>
                <w:szCs w:val="20"/>
                <w:shd w:fill="auto" w:val="clear"/>
              </w:rPr>
              <w:t>809 739 013,14 рублей</w:t>
            </w:r>
          </w:p>
        </w:tc>
      </w:tr>
      <w:tr>
        <w:trPr>
          <w:trHeight w:val="360" w:hRule="atLeast"/>
        </w:trPr>
        <w:tc>
          <w:tcPr>
            <w:tcW w:w="2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  <w:shd w:fill="auto" w:val="clear"/>
              </w:rPr>
              <w:t>в том числе:</w:t>
            </w:r>
          </w:p>
        </w:tc>
      </w:tr>
      <w:tr>
        <w:trPr>
          <w:trHeight w:val="1635" w:hRule="atLeast"/>
        </w:trPr>
        <w:tc>
          <w:tcPr>
            <w:tcW w:w="2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sz w:val="20"/>
                <w:szCs w:val="20"/>
                <w:shd w:fill="auto" w:val="clear"/>
              </w:rPr>
              <w:t xml:space="preserve">2021 год - 66 836 504,16 рублей, </w:t>
              <w:br/>
              <w:t xml:space="preserve">2022 год - 49 056 492,02 рублей, </w:t>
              <w:br/>
              <w:t xml:space="preserve">2023 год - 427 326 816,96 рублей, </w:t>
              <w:br/>
              <w:t xml:space="preserve">2024 год - 229 862 700,00 рублей, </w:t>
              <w:br/>
              <w:t xml:space="preserve">2025 год - 12 920 700,00 рублей, </w:t>
              <w:br/>
              <w:t xml:space="preserve">2026 год - 11 867 900,00 рублей, </w:t>
              <w:br/>
              <w:t>2027 год - 11 867 900,00 рублей</w:t>
            </w:r>
          </w:p>
        </w:tc>
      </w:tr>
      <w:tr>
        <w:trPr>
          <w:trHeight w:val="360" w:hRule="atLeast"/>
        </w:trPr>
        <w:tc>
          <w:tcPr>
            <w:tcW w:w="2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b/>
                <w:bCs/>
                <w:sz w:val="20"/>
                <w:szCs w:val="20"/>
                <w:shd w:fill="auto" w:val="clear"/>
              </w:rPr>
              <w:t>местный бюджет</w:t>
            </w:r>
          </w:p>
        </w:tc>
      </w:tr>
      <w:tr>
        <w:trPr>
          <w:trHeight w:val="360" w:hRule="atLeast"/>
        </w:trPr>
        <w:tc>
          <w:tcPr>
            <w:tcW w:w="2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b/>
                <w:bCs/>
                <w:sz w:val="20"/>
                <w:szCs w:val="20"/>
              </w:rPr>
              <w:t>1 241 200 118,12  рублей</w:t>
            </w:r>
          </w:p>
        </w:tc>
      </w:tr>
      <w:tr>
        <w:trPr>
          <w:trHeight w:val="360" w:hRule="atLeast"/>
        </w:trPr>
        <w:tc>
          <w:tcPr>
            <w:tcW w:w="2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sz w:val="20"/>
                <w:szCs w:val="20"/>
              </w:rPr>
              <w:t>в том числе:</w:t>
            </w:r>
          </w:p>
        </w:tc>
      </w:tr>
      <w:tr>
        <w:trPr>
          <w:trHeight w:val="1650" w:hRule="atLeast"/>
        </w:trPr>
        <w:tc>
          <w:tcPr>
            <w:tcW w:w="2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z w:val="20"/>
                <w:shd w:fill="auto" w:val="clear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sz w:val="20"/>
                <w:szCs w:val="20"/>
              </w:rPr>
              <w:t xml:space="preserve">2021 год - 126 205 951,39 рублей, </w:t>
              <w:br/>
              <w:t xml:space="preserve">2022 год - 223 155 708,85 рублей, </w:t>
              <w:br/>
              <w:t xml:space="preserve">2023 год - 263 435 820,39 рублей, </w:t>
              <w:br/>
              <w:t xml:space="preserve">2024 год - 241 990 797,17 рублей, </w:t>
              <w:br/>
              <w:t xml:space="preserve">2025 год - 231 314 698,32 рублей, </w:t>
              <w:br/>
              <w:t xml:space="preserve">2026 год - 77 548 571,00 рублей, </w:t>
              <w:br/>
              <w:t>2027 год - 77 548 571,00 рублей</w:t>
            </w:r>
          </w:p>
        </w:tc>
      </w:tr>
      <w:tr>
        <w:trPr>
          <w:trHeight w:val="1125" w:hRule="atLeast"/>
        </w:trPr>
        <w:tc>
          <w:tcPr>
            <w:tcW w:w="2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  <w:highlight w:val="none"/>
                <w:shd w:fill="auto" w:val="clear"/>
              </w:rPr>
            </w:pPr>
            <w:r>
              <w:rPr>
                <w:rFonts w:ascii="Liberation Serif" w:hAnsi="Liberation Serif"/>
                <w:shd w:fill="auto" w:val="clear"/>
              </w:rPr>
            </w:r>
          </w:p>
        </w:tc>
        <w:tc>
          <w:tcPr>
            <w:tcW w:w="3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7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7"/>
                <w:rFonts w:eastAsia="Calibri" w:ascii="Liberation Serif" w:hAnsi="Liberation Serif"/>
                <w:sz w:val="20"/>
                <w:szCs w:val="20"/>
                <w:shd w:fill="auto" w:val="clear"/>
              </w:rPr>
              <w:t>Адрес размещения муниципальной программы в информационно-т</w:t>
            </w:r>
            <w:r>
              <w:rPr>
                <w:rStyle w:val="CharacterStyle12"/>
                <w:rFonts w:eastAsia="Calibri" w:ascii="Liberation Serif" w:hAnsi="Liberation Serif"/>
                <w:sz w:val="20"/>
                <w:szCs w:val="20"/>
                <w:shd w:fill="auto" w:val="clear"/>
              </w:rPr>
              <w:t xml:space="preserve">елекоммуникационной </w:t>
            </w:r>
            <w:r>
              <w:rPr>
                <w:rStyle w:val="CharacterStyle14"/>
                <w:rFonts w:eastAsia="Calibri" w:ascii="Liberation Serif" w:hAnsi="Liberation Serif"/>
                <w:sz w:val="20"/>
                <w:szCs w:val="20"/>
                <w:shd w:fill="auto" w:val="clear"/>
              </w:rPr>
              <w:t>сети Интернет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>
                <w:rFonts w:cs="Liberation Serif" w:ascii="Liberation Serif" w:hAnsi="Liberation Serif"/>
                <w:color w:val="000000" w:themeColor="text1"/>
                <w:shd w:fill="auto" w:val="clear"/>
                <w:lang w:val="en-US"/>
              </w:rPr>
              <w:t>gorod-</w:t>
            </w:r>
            <w:hyperlink r:id="rId2">
              <w:r>
                <w:rPr>
                  <w:rFonts w:cs="Liberation Serif" w:ascii="Liberation Serif" w:hAnsi="Liberation Serif"/>
                  <w:color w:val="000000" w:themeColor="text1"/>
                  <w:shd w:fill="auto" w:val="clear"/>
                  <w:lang w:val="en-US"/>
                </w:rPr>
                <w:t>kamyshlov.ru</w:t>
              </w:r>
            </w:hyperlink>
          </w:p>
        </w:tc>
      </w:tr>
    </w:tbl>
    <w:p>
      <w:pPr>
        <w:pStyle w:val="Normal"/>
        <w:spacing w:before="0" w:after="0"/>
        <w:contextualSpacing/>
        <w:rPr>
          <w:rFonts w:ascii="Liberation Serif" w:hAnsi="Liberation Serif"/>
          <w:highlight w:val="none"/>
          <w:shd w:fill="auto" w:val="clear"/>
        </w:rPr>
      </w:pPr>
      <w:r>
        <w:rPr>
          <w:rFonts w:ascii="Liberation Serif" w:hAnsi="Liberation Serif"/>
          <w:shd w:fill="auto" w:val="clear"/>
        </w:rPr>
      </w:r>
    </w:p>
    <w:p>
      <w:pPr>
        <w:pStyle w:val="ConsPlusNormal"/>
        <w:widowControl/>
        <w:numPr>
          <w:ilvl w:val="0"/>
          <w:numId w:val="0"/>
        </w:numPr>
        <w:spacing w:before="0" w:after="0"/>
        <w:ind w:left="0" w:hanging="0"/>
        <w:contextualSpacing/>
        <w:jc w:val="center"/>
        <w:outlineLvl w:val="1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ConsPlusNormal"/>
        <w:widowControl/>
        <w:numPr>
          <w:ilvl w:val="0"/>
          <w:numId w:val="0"/>
        </w:numPr>
        <w:spacing w:before="0" w:after="0"/>
        <w:ind w:left="0" w:hanging="0"/>
        <w:contextualSpacing/>
        <w:jc w:val="center"/>
        <w:outlineLvl w:val="1"/>
        <w:rPr>
          <w:highlight w:val="none"/>
          <w:shd w:fill="auto" w:val="clear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327" w:gutter="0" w:header="0" w:top="552" w:footer="0" w:bottom="1440"/>
      <w:pgNumType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Style w:val="FakeCharacterStyle"/>
      </w:rPr>
    </w:pPr>
    <w:r>
      <w:rPr/>
    </w:r>
  </w:p>
  <w:p>
    <w:pPr>
      <w:pStyle w:val="Normal"/>
      <w:rPr>
        <w:rStyle w:val="FakeCharacterStyle"/>
      </w:rPr>
    </w:pPr>
    <w:r>
      <w:rPr/>
    </w:r>
  </w:p>
  <w:p>
    <w:pPr>
      <w:pStyle w:val="Normal"/>
      <w:rPr>
        <w:rStyle w:val="FakeCharacterStyle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zh-CN" w:bidi="hi-IN"/>
    </w:rPr>
  </w:style>
  <w:style w:type="paragraph" w:styleId="2">
    <w:name w:val="Heading 2"/>
    <w:basedOn w:val="Normal"/>
    <w:next w:val="Normal"/>
    <w:qFormat/>
    <w:pPr>
      <w:spacing w:lineRule="auto" w:line="360" w:before="240" w:after="240"/>
      <w:ind w:firstLine="709"/>
      <w:jc w:val="both"/>
      <w:outlineLvl w:val="1"/>
    </w:pPr>
    <w:rPr>
      <w:rFonts w:eastAsia="Calibri" w:eastAsiaTheme="minorHAnsi"/>
      <w:b/>
      <w:i/>
      <w:sz w:val="28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Line Number"/>
    <w:basedOn w:val="DefaultParagraphFont"/>
    <w:semiHidden/>
    <w:rPr/>
  </w:style>
  <w:style w:type="character" w:styleId="-">
    <w:name w:val="Hyperlink"/>
    <w:basedOn w:val="DefaultParagraphFont"/>
    <w:uiPriority w:val="99"/>
    <w:unhideWhenUsed/>
    <w:rsid w:val="002350fc"/>
    <w:rPr>
      <w:color w:val="0563C1" w:themeColor="hyperlink"/>
      <w:u w:val="single"/>
    </w:rPr>
  </w:style>
  <w:style w:type="character" w:styleId="FakeCharacterStyle" w:customStyle="1">
    <w:name w:val="FakeCharacterStyle"/>
    <w:qFormat/>
    <w:rPr>
      <w:sz w:val="1"/>
      <w:szCs w:val="1"/>
    </w:rPr>
  </w:style>
  <w:style w:type="character" w:styleId="CharacterStyle0" w:customStyle="1">
    <w:name w:val="CharacterStyle0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" w:customStyle="1">
    <w:name w:val="CharacterStyle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 w:customStyle="1">
    <w:name w:val="CharacterStyle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3" w:customStyle="1">
    <w:name w:val="CharacterStyle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 w:customStyle="1">
    <w:name w:val="CharacterStyle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 w:customStyle="1">
    <w:name w:val="CharacterStyle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 w:customStyle="1">
    <w:name w:val="CharacterStyle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7" w:customStyle="1">
    <w:name w:val="CharacterStyle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8" w:customStyle="1">
    <w:name w:val="CharacterStyle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 w:customStyle="1">
    <w:name w:val="CharacterStyle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 w:customStyle="1">
    <w:name w:val="CharacterStyle1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 w:customStyle="1">
    <w:name w:val="CharacterStyle1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2" w:customStyle="1">
    <w:name w:val="CharacterStyle1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3" w:customStyle="1">
    <w:name w:val="CharacterStyle1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4" w:customStyle="1">
    <w:name w:val="CharacterStyle1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5" w:customStyle="1">
    <w:name w:val="CharacterStyle1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Style14" w:customStyle="1">
    <w:name w:val="Символ нумерации"/>
    <w:qFormat/>
    <w:rPr/>
  </w:style>
  <w:style w:type="character" w:styleId="Style15" w:customStyle="1">
    <w:name w:val="Основной текст_"/>
    <w:basedOn w:val="DefaultParagraphFont"/>
    <w:qFormat/>
    <w:rPr>
      <w:sz w:val="23"/>
      <w:szCs w:val="23"/>
      <w:shd w:fill="FFFFFF" w:val="clear"/>
    </w:rPr>
  </w:style>
  <w:style w:type="character" w:styleId="0pt" w:customStyle="1">
    <w:name w:val="Основной текст + Интервал 0 pt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sz w:val="24"/>
      <w:szCs w:val="24"/>
      <w:u w:val="none"/>
      <w:shd w:fill="FFFFFF" w:val="clear"/>
      <w:lang w:val="ru-RU" w:eastAsia="ru-RU" w:bidi="ru-RU"/>
    </w:rPr>
  </w:style>
  <w:style w:type="character" w:styleId="FontStyle11" w:customStyle="1">
    <w:name w:val="Font Style11"/>
    <w:basedOn w:val="DefaultParagraphFont"/>
    <w:qFormat/>
    <w:rPr>
      <w:rFonts w:ascii="Courier New" w:hAnsi="Courier New" w:cs="Courier New"/>
      <w:spacing w:val="-10"/>
      <w:sz w:val="26"/>
      <w:szCs w:val="26"/>
    </w:rPr>
  </w:style>
  <w:style w:type="character" w:styleId="611pt" w:customStyle="1">
    <w:name w:val="Основной текст (6) + 11 pt"/>
    <w:basedOn w:val="DefaultParagraphFont"/>
    <w:qFormat/>
    <w:rPr>
      <w:rFonts w:ascii="Times New Roman" w:hAnsi="Times New Roman" w:cs="Times New Roman"/>
      <w:sz w:val="22"/>
      <w:szCs w:val="22"/>
      <w:shd w:fill="FFFFFF" w:val="clear"/>
    </w:rPr>
  </w:style>
  <w:style w:type="character" w:styleId="Pagenumber">
    <w:name w:val="page number"/>
    <w:basedOn w:val="DefaultParagraphFont"/>
    <w:qFormat/>
    <w:rPr/>
  </w:style>
  <w:style w:type="character" w:styleId="FontStyle30" w:customStyle="1">
    <w:name w:val="Font Style30"/>
    <w:qFormat/>
    <w:rPr>
      <w:rFonts w:ascii="Times New Roman" w:hAnsi="Times New Roman" w:cs="Times New Roman"/>
      <w:sz w:val="26"/>
      <w:szCs w:val="26"/>
    </w:rPr>
  </w:style>
  <w:style w:type="character" w:styleId="Style16" w:customStyle="1">
    <w:name w:val="FollowedHyperlink"/>
    <w:rPr>
      <w:color w:val="80000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next w:val="Normal"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ParagraphStyle0" w:customStyle="1">
    <w:name w:val="ParagraphStyle0"/>
    <w:qFormat/>
    <w:pPr>
      <w:widowControl/>
      <w:suppressAutoHyphens w:val="false"/>
      <w:bidi w:val="0"/>
      <w:spacing w:before="0" w:after="0"/>
      <w:ind w:left="28" w:right="28" w:hanging="0"/>
      <w:jc w:val="center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" w:customStyle="1">
    <w:name w:val="ParagraphStyle1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2" w:customStyle="1">
    <w:name w:val="ParagraphStyle2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3" w:customStyle="1">
    <w:name w:val="ParagraphStyle3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4" w:customStyle="1">
    <w:name w:val="ParagraphStyle4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5" w:customStyle="1">
    <w:name w:val="ParagraphStyle5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6" w:customStyle="1">
    <w:name w:val="ParagraphStyle6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7" w:customStyle="1">
    <w:name w:val="ParagraphStyle7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8" w:customStyle="1">
    <w:name w:val="ParagraphStyle8"/>
    <w:qFormat/>
    <w:pPr>
      <w:widowControl/>
      <w:suppressAutoHyphens w:val="false"/>
      <w:bidi w:val="0"/>
      <w:spacing w:before="0" w:after="0"/>
      <w:ind w:left="115" w:right="115" w:hanging="0"/>
      <w:jc w:val="both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9" w:customStyle="1">
    <w:name w:val="ParagraphStyle9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0" w:customStyle="1">
    <w:name w:val="ParagraphStyle10"/>
    <w:qFormat/>
    <w:pPr>
      <w:widowControl/>
      <w:suppressAutoHyphens w:val="false"/>
      <w:bidi w:val="0"/>
      <w:spacing w:before="0" w:after="0"/>
      <w:ind w:left="115" w:right="115" w:hanging="0"/>
      <w:jc w:val="both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1" w:customStyle="1">
    <w:name w:val="ParagraphStyle11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2" w:customStyle="1">
    <w:name w:val="ParagraphStyle12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3" w:customStyle="1">
    <w:name w:val="ParagraphStyle13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4" w:customStyle="1">
    <w:name w:val="ParagraphStyle14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5" w:customStyle="1">
    <w:name w:val="ParagraphStyle15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 w:customStyle="1">
    <w:name w:val="Колонтитул"/>
    <w:basedOn w:val="Normal"/>
    <w:qFormat/>
    <w:pPr/>
    <w:rPr/>
  </w:style>
  <w:style w:type="paragraph" w:styleId="Style24">
    <w:name w:val="Header"/>
    <w:basedOn w:val="Style22"/>
    <w:pPr/>
    <w:rPr/>
  </w:style>
  <w:style w:type="paragraph" w:styleId="Style25">
    <w:name w:val="Footer"/>
    <w:basedOn w:val="Style22"/>
    <w:pPr/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hi-IN"/>
    </w:rPr>
  </w:style>
  <w:style w:type="paragraph" w:styleId="31" w:customStyle="1">
    <w:name w:val="Основной текст с отступом 31"/>
    <w:basedOn w:val="Normal"/>
    <w:qFormat/>
    <w:pPr>
      <w:ind w:right="-902" w:firstLine="567"/>
      <w:jc w:val="both"/>
    </w:pPr>
    <w:rPr>
      <w:sz w:val="28"/>
      <w:szCs w:val="28"/>
      <w:lang w:eastAsia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sz w:val="22"/>
      <w:szCs w:val="22"/>
      <w:lang w:eastAsia="en-US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8" w:customStyle="1">
    <w:name w:val="АААОбычн"/>
    <w:basedOn w:val="Normal"/>
    <w:qFormat/>
    <w:pPr>
      <w:spacing w:lineRule="auto" w:line="360" w:before="120" w:after="120"/>
      <w:ind w:firstLine="567"/>
      <w:jc w:val="both"/>
    </w:pPr>
    <w:rPr>
      <w:rFonts w:eastAsia="Calibri" w:eastAsiaTheme="minorHAnsi"/>
      <w:sz w:val="28"/>
      <w:szCs w:val="28"/>
      <w:lang w:eastAsia="en-US"/>
    </w:rPr>
  </w:style>
  <w:style w:type="paragraph" w:styleId="Style29" w:customStyle="1">
    <w:name w:val="АПереч"/>
    <w:basedOn w:val="Style28"/>
    <w:qFormat/>
    <w:pPr>
      <w:numPr>
        <w:ilvl w:val="0"/>
        <w:numId w:val="1"/>
      </w:numPr>
      <w:tabs>
        <w:tab w:val="clear" w:pos="720"/>
        <w:tab w:val="left" w:pos="1134" w:leader="none"/>
      </w:tabs>
      <w:ind w:left="0" w:firstLine="567"/>
    </w:pPr>
    <w:rPr/>
  </w:style>
  <w:style w:type="paragraph" w:styleId="Style30" w:customStyle="1">
    <w:name w:val="ААПереч"/>
    <w:basedOn w:val="Normal"/>
    <w:qFormat/>
    <w:pPr>
      <w:numPr>
        <w:ilvl w:val="0"/>
        <w:numId w:val="2"/>
      </w:numPr>
      <w:tabs>
        <w:tab w:val="clear" w:pos="720"/>
        <w:tab w:val="left" w:pos="1134" w:leader="none"/>
      </w:tabs>
      <w:spacing w:lineRule="auto" w:line="360" w:before="0" w:after="0"/>
      <w:ind w:left="0" w:firstLine="567"/>
      <w:contextualSpacing/>
      <w:jc w:val="both"/>
    </w:pPr>
    <w:rPr>
      <w:rFonts w:ascii="Calibri" w:hAnsi="Calibri" w:cs="" w:asciiTheme="minorHAnsi" w:cstheme="minorBidi" w:hAnsiTheme="minorHAnsi"/>
      <w:sz w:val="28"/>
      <w:szCs w:val="28"/>
      <w:lang w:eastAsia="en-US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hi-IN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hi-IN"/>
    </w:rPr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hi-IN"/>
    </w:rPr>
  </w:style>
  <w:style w:type="paragraph" w:styleId="Consnormal" w:customStyle="1">
    <w:name w:val="consnormal"/>
    <w:basedOn w:val="Normal"/>
    <w:qFormat/>
    <w:pPr>
      <w:spacing w:before="75" w:after="75"/>
    </w:pPr>
    <w:rPr>
      <w:rFonts w:ascii="Arial" w:hAnsi="Arial" w:cs="Arial"/>
      <w:color w:val="000000"/>
    </w:rPr>
  </w:style>
  <w:style w:type="paragraph" w:styleId="Consplusnormal1" w:customStyle="1">
    <w:name w:val="consplusnormal"/>
    <w:basedOn w:val="Normal"/>
    <w:qFormat/>
    <w:pPr>
      <w:spacing w:before="75" w:after="75"/>
    </w:pPr>
    <w:rPr>
      <w:rFonts w:ascii="Arial" w:hAnsi="Arial" w:cs="Arial"/>
      <w:color w:val="000000"/>
    </w:rPr>
  </w:style>
  <w:style w:type="paragraph" w:styleId="11" w:customStyle="1">
    <w:name w:val="Основной текст1"/>
    <w:basedOn w:val="Normal"/>
    <w:qFormat/>
    <w:pPr>
      <w:shd w:val="clear" w:color="auto" w:fill="FFFFFF"/>
      <w:spacing w:lineRule="atLeast" w:line="240" w:before="0" w:after="60"/>
    </w:pPr>
    <w:rPr>
      <w:rFonts w:ascii="Calibri" w:hAnsi="Calibri" w:eastAsia="Calibri" w:cs="" w:asciiTheme="minorHAnsi" w:cstheme="minorBidi" w:eastAsiaTheme="minorHAnsi" w:hAnsiTheme="minorHAnsi"/>
      <w:sz w:val="23"/>
      <w:szCs w:val="23"/>
      <w:shd w:fill="FFFFFF" w:val="clear"/>
      <w:lang w:eastAsia="en-US"/>
    </w:rPr>
  </w:style>
  <w:style w:type="paragraph" w:styleId="Style31" w:customStyle="1">
    <w:name w:val="Таблицы (моноширинный)"/>
    <w:basedOn w:val="Normal"/>
    <w:next w:val="Normal"/>
    <w:qFormat/>
    <w:pPr>
      <w:widowControl w:val="false"/>
      <w:jc w:val="both"/>
    </w:pPr>
    <w:rPr>
      <w:rFonts w:ascii="Courier New" w:hAnsi="Courier New" w:cs="Courier New"/>
      <w:sz w:val="24"/>
      <w:szCs w:val="24"/>
    </w:rPr>
  </w:style>
  <w:style w:type="paragraph" w:styleId="12" w:customStyle="1">
    <w:name w:val="Заголовок №1"/>
    <w:basedOn w:val="Normal"/>
    <w:qFormat/>
    <w:pPr>
      <w:widowControl w:val="false"/>
      <w:shd w:val="clear" w:color="auto" w:fill="FFFFFF"/>
      <w:spacing w:lineRule="exact" w:line="326" w:before="240" w:after="240"/>
      <w:jc w:val="center"/>
      <w:outlineLvl w:val="0"/>
    </w:pPr>
    <w:rPr>
      <w:b/>
      <w:bCs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hi-IN"/>
    </w:rPr>
  </w:style>
  <w:style w:type="paragraph" w:styleId="Style32" w:customStyle="1">
    <w:name w:val="Табл назв"/>
    <w:basedOn w:val="Caption"/>
    <w:qFormat/>
    <w:pPr>
      <w:keepNext w:val="true"/>
      <w:spacing w:before="0" w:after="120"/>
      <w:ind w:firstLine="1701"/>
      <w:jc w:val="right"/>
    </w:pPr>
    <w:rPr>
      <w:rFonts w:eastAsia="Calibri" w:eastAsiaTheme="minorHAnsi"/>
      <w:color w:val="auto"/>
      <w:sz w:val="24"/>
      <w:lang w:eastAsia="en-US"/>
    </w:rPr>
  </w:style>
  <w:style w:type="paragraph" w:styleId="Style33" w:customStyle="1">
    <w:name w:val="Табл содер"/>
    <w:basedOn w:val="Style28"/>
    <w:qFormat/>
    <w:pPr>
      <w:spacing w:lineRule="auto" w:line="240" w:before="0" w:after="0"/>
      <w:ind w:hanging="0"/>
    </w:pPr>
    <w:rPr>
      <w:sz w:val="24"/>
      <w:szCs w:val="24"/>
      <w:lang w:eastAsia="ru-RU"/>
    </w:rPr>
  </w:style>
  <w:style w:type="paragraph" w:styleId="Style34" w:customStyle="1">
    <w:name w:val="Табл загол"/>
    <w:basedOn w:val="Style33"/>
    <w:qFormat/>
    <w:pPr>
      <w:jc w:val="center"/>
    </w:pPr>
    <w:rPr>
      <w:b/>
    </w:rPr>
  </w:style>
  <w:style w:type="paragraph" w:styleId="Style35" w:customStyle="1">
    <w:name w:val="Текст в таблице_ШАПКА"/>
    <w:basedOn w:val="Normal"/>
    <w:next w:val="Style18"/>
    <w:qFormat/>
    <w:pPr>
      <w:jc w:val="center"/>
    </w:pPr>
    <w:rPr>
      <w:b/>
      <w:sz w:val="24"/>
      <w:szCs w:val="24"/>
    </w:rPr>
  </w:style>
  <w:style w:type="paragraph" w:styleId="Style36" w:customStyle="1">
    <w:name w:val="Текст в таблице"/>
    <w:basedOn w:val="Normal"/>
    <w:qFormat/>
    <w:pPr>
      <w:spacing w:before="240" w:after="0"/>
      <w:ind w:left="33" w:right="34" w:firstLine="1"/>
    </w:pPr>
    <w:rPr>
      <w:sz w:val="24"/>
      <w:szCs w:val="24"/>
    </w:rPr>
  </w:style>
  <w:style w:type="paragraph" w:styleId="Style37" w:customStyle="1">
    <w:name w:val="Текст в таблице_ЦЕНТР"/>
    <w:basedOn w:val="Normal"/>
    <w:qFormat/>
    <w:pPr>
      <w:jc w:val="center"/>
    </w:pPr>
    <w:rPr>
      <w:sz w:val="24"/>
      <w:szCs w:val="24"/>
    </w:rPr>
  </w:style>
  <w:style w:type="paragraph" w:styleId="Envelopereturn">
    <w:name w:val="envelope return"/>
    <w:basedOn w:val="Normal"/>
    <w:qFormat/>
    <w:pPr>
      <w:suppressLineNumbers/>
    </w:pPr>
    <w:rPr>
      <w:i/>
      <w:iCs/>
    </w:rPr>
  </w:style>
  <w:style w:type="paragraph" w:styleId="Style38" w:customStyle="1">
    <w:name w:val="ААТАБЛ"/>
    <w:basedOn w:val="Caption"/>
    <w:qFormat/>
    <w:pPr>
      <w:keepNext w:val="true"/>
      <w:spacing w:before="120" w:after="0"/>
      <w:jc w:val="right"/>
    </w:pPr>
    <w:rPr>
      <w:rFonts w:eastAsia="Calibri" w:eastAsiaTheme="minorHAnsi"/>
      <w:color w:val="auto"/>
      <w:sz w:val="24"/>
      <w:szCs w:val="24"/>
      <w:lang w:eastAsia="en-US"/>
    </w:rPr>
  </w:style>
  <w:style w:type="paragraph" w:styleId="Style39" w:customStyle="1">
    <w:name w:val="ААТЕКВТ"/>
    <w:basedOn w:val="Normal"/>
    <w:qFormat/>
    <w:pPr>
      <w:spacing w:lineRule="auto" w:line="276"/>
      <w:jc w:val="center"/>
    </w:pPr>
    <w:rPr>
      <w:rFonts w:eastAsia="Calibri" w:eastAsiaTheme="minorHAnsi"/>
      <w:lang w:eastAsia="en-US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Style40" w:customStyle="1">
    <w:name w:val="Содержимое врезки"/>
    <w:basedOn w:val="Normal"/>
    <w:qFormat/>
    <w:pPr/>
    <w:rPr/>
  </w:style>
  <w:style w:type="paragraph" w:styleId="Style41">
    <w:name w:val="Обычный"/>
    <w:qFormat/>
    <w:pPr>
      <w:keepNext w:val="false"/>
      <w:keepLines w:val="false"/>
      <w:pageBreakBefore w:val="false"/>
      <w:widowControl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Simple 1"/>
    <w:basedOn w:val="a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mgo@mail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63105-B2D8-43BB-A84F-321849AF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Application>LibreOffice/7.5.2.1$Linux_X86_64 LibreOffice_project/50$Build-1</Application>
  <AppVersion>15.0000</AppVersion>
  <Pages>10</Pages>
  <Words>2516</Words>
  <Characters>19041</Characters>
  <CharactersWithSpaces>21387</CharactersWithSpaces>
  <Paragraphs>196</Paragraphs>
  <Company>администрация КГО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2023-01-25T03:32:00Z</dcterms:created>
  <dc:creator/>
  <dc:description/>
  <dc:language>ru-RU</dc:language>
  <cp:lastModifiedBy/>
  <cp:lastPrinted>2023-11-02T16:46:29Z</cp:lastPrinted>
  <dcterms:modified xsi:type="dcterms:W3CDTF">2023-11-02T16:52:25Z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21.2.3.0</vt:lpwstr>
  </property>
</Properties>
</file>