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CB" w:rsidRDefault="009D08D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Приложение</w:t>
      </w:r>
    </w:p>
    <w:p w:rsidR="00856CCB" w:rsidRDefault="009D08D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УТВЕРЖДЕНА</w:t>
      </w:r>
    </w:p>
    <w:p w:rsidR="00856CCB" w:rsidRDefault="009D08D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856CCB" w:rsidRDefault="009D08DD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56CCB" w:rsidRDefault="009D08D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№______</w:t>
      </w:r>
    </w:p>
    <w:p w:rsidR="00856CCB" w:rsidRDefault="00856CCB">
      <w:pPr>
        <w:jc w:val="right"/>
        <w:rPr>
          <w:rFonts w:ascii="Liberation Serif" w:hAnsi="Liberation Serif"/>
          <w:sz w:val="28"/>
          <w:szCs w:val="28"/>
        </w:rPr>
      </w:pPr>
    </w:p>
    <w:p w:rsidR="00856CCB" w:rsidRDefault="009D08D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 w:rsidR="00856CCB" w:rsidRDefault="009D08D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</w:t>
      </w:r>
      <w:r>
        <w:rPr>
          <w:rFonts w:ascii="Liberation Serif" w:hAnsi="Liberation Serif"/>
          <w:b/>
          <w:sz w:val="28"/>
          <w:szCs w:val="28"/>
        </w:rPr>
        <w:t>лении муниципального земельного контроля на территории</w:t>
      </w:r>
    </w:p>
    <w:p w:rsidR="00856CCB" w:rsidRDefault="009D08D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на 2022 год</w:t>
      </w:r>
    </w:p>
    <w:p w:rsidR="00856CCB" w:rsidRDefault="00856CC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56CCB" w:rsidRDefault="009D08DD">
      <w:pPr>
        <w:pStyle w:val="a6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контрольного (надзорного) орг</w:t>
      </w:r>
      <w:r>
        <w:rPr>
          <w:rFonts w:ascii="Liberation Serif" w:hAnsi="Liberation Serif"/>
          <w:b/>
          <w:sz w:val="28"/>
          <w:szCs w:val="28"/>
        </w:rPr>
        <w:t>ана, характеристика проблем, на решение которых направлена программа профилактики рисков причинения вреда.</w:t>
      </w:r>
    </w:p>
    <w:p w:rsidR="00856CCB" w:rsidRDefault="00856CCB">
      <w:pPr>
        <w:pStyle w:val="a6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p w:rsidR="00856CCB" w:rsidRDefault="009D08DD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Предметом муниципального земельного контроля является проверка соблюдения юридическими лицами и индивидуальными предпринимателями требований, устано</w:t>
      </w:r>
      <w:r>
        <w:rPr>
          <w:rFonts w:ascii="Liberation Serif" w:hAnsi="Liberation Serif"/>
          <w:sz w:val="28"/>
          <w:szCs w:val="28"/>
        </w:rPr>
        <w:t xml:space="preserve">вленных федеральным законодательством, законодательством Свердловской области и муниципальными правовыми актами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сфере земельных отношений, требований по использованию, охране, защите земель. Реестр субъектов по данному вид</w:t>
      </w:r>
      <w:r>
        <w:rPr>
          <w:rFonts w:ascii="Liberation Serif" w:hAnsi="Liberation Serif"/>
          <w:sz w:val="28"/>
          <w:szCs w:val="28"/>
        </w:rPr>
        <w:t xml:space="preserve">у муниципального контроля размещен на официальном сайте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сети Интернет (http://gorod-kamyshlov.ru) в разделе Муниципальный контроль// Реестры подконтрольных субъектов.</w:t>
      </w:r>
    </w:p>
    <w:p w:rsidR="00856CCB" w:rsidRDefault="009D08DD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год проведение проверок в рамках</w:t>
      </w:r>
      <w:r>
        <w:rPr>
          <w:rFonts w:ascii="Liberation Serif" w:hAnsi="Liberation Serif"/>
          <w:sz w:val="28"/>
          <w:szCs w:val="28"/>
        </w:rPr>
        <w:t xml:space="preserve"> осуществления муниципального земельного контроля не запланировано.</w:t>
      </w:r>
    </w:p>
    <w:p w:rsidR="00856CCB" w:rsidRDefault="009D08DD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профилактических мероприятий на официальном сайте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сети Интернет ежегодно размещается план проверок юридических лиц и индивидуальных</w:t>
      </w:r>
      <w:r>
        <w:rPr>
          <w:rFonts w:ascii="Liberation Serif" w:hAnsi="Liberation Serif"/>
          <w:sz w:val="28"/>
          <w:szCs w:val="28"/>
        </w:rPr>
        <w:t xml:space="preserve"> предпринимателей, размещены перечни и тексты правовых актов, содержащих требования, оценка соблюдения которых, является предметом муниципального земельного контроля, реестр подконтрольных субъектов, результаты проведенных проверок, обобщение практики осущ</w:t>
      </w:r>
      <w:r>
        <w:rPr>
          <w:rFonts w:ascii="Liberation Serif" w:hAnsi="Liberation Serif"/>
          <w:sz w:val="28"/>
          <w:szCs w:val="28"/>
        </w:rPr>
        <w:t xml:space="preserve">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</w:t>
      </w:r>
      <w:r>
        <w:rPr>
          <w:rFonts w:ascii="Liberation Serif" w:hAnsi="Liberation Serif"/>
          <w:sz w:val="28"/>
          <w:szCs w:val="28"/>
        </w:rPr>
        <w:t>в действующие нормативные акты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</w:t>
      </w:r>
      <w:r>
        <w:rPr>
          <w:rFonts w:ascii="Liberation Serif" w:hAnsi="Liberation Serif"/>
          <w:sz w:val="28"/>
          <w:szCs w:val="28"/>
        </w:rPr>
        <w:t xml:space="preserve">дательства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повышение общего уровня правовой культуры.</w:t>
      </w:r>
    </w:p>
    <w:p w:rsidR="00856CCB" w:rsidRDefault="009D08DD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Несоблюдение требований земельного законодательства влечет за собой риск причинения вреда жизни, здоровья граждан, вреда животным, растениям, </w:t>
      </w:r>
      <w:r>
        <w:rPr>
          <w:rFonts w:ascii="Liberation Serif" w:hAnsi="Liberation Serif"/>
          <w:sz w:val="28"/>
          <w:szCs w:val="28"/>
        </w:rPr>
        <w:lastRenderedPageBreak/>
        <w:t>окружающей с</w:t>
      </w:r>
      <w:r>
        <w:rPr>
          <w:rFonts w:ascii="Liberation Serif" w:hAnsi="Liberation Serif"/>
          <w:sz w:val="28"/>
          <w:szCs w:val="28"/>
        </w:rPr>
        <w:t>реде, возникновения чрезвычайных ситуаций природного и техногенного характера.</w:t>
      </w:r>
    </w:p>
    <w:p w:rsidR="00856CCB" w:rsidRDefault="00856CCB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856CCB" w:rsidRDefault="009D08DD">
      <w:pPr>
        <w:pStyle w:val="a6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Цели и задачи реализации программы профилактики рисков причинения вреда (ущерба) охраняемых законом ценностям при осуществлении муниципального лесного контроля на 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на 2022 год.</w:t>
      </w:r>
    </w:p>
    <w:p w:rsidR="00856CCB" w:rsidRDefault="00856CCB">
      <w:pPr>
        <w:pStyle w:val="a6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p w:rsidR="00856CCB" w:rsidRDefault="009D08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Настоящая программа разработана на 2022 год,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</w:t>
      </w:r>
      <w:r>
        <w:rPr>
          <w:rFonts w:ascii="Liberation Serif" w:hAnsi="Liberation Serif" w:cs="Liberation Serif"/>
          <w:sz w:val="28"/>
          <w:szCs w:val="28"/>
        </w:rPr>
        <w:t>имателями обязательных требований и требований, установленных муниципальными правовыми актами.</w:t>
      </w:r>
    </w:p>
    <w:p w:rsidR="00856CCB" w:rsidRDefault="009D08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Целями профилактической работы являются: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dst100485"/>
      <w:bookmarkEnd w:id="1"/>
      <w:r>
        <w:rPr>
          <w:rFonts w:ascii="Liberation Serif" w:hAnsi="Liberation Serif"/>
          <w:sz w:val="28"/>
          <w:szCs w:val="28"/>
        </w:rPr>
        <w:t>2) устранение условий</w:t>
      </w:r>
      <w:r>
        <w:rPr>
          <w:rFonts w:ascii="Liberation Serif" w:hAnsi="Liberation Serif"/>
          <w:sz w:val="28"/>
          <w:szCs w:val="28"/>
        </w:rPr>
        <w:t>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6CCB" w:rsidRDefault="009D08DD">
      <w:pPr>
        <w:ind w:firstLine="709"/>
        <w:jc w:val="both"/>
      </w:pPr>
      <w:bookmarkStart w:id="2" w:name="dst100486"/>
      <w:bookmarkEnd w:id="2"/>
      <w:r>
        <w:rPr>
          <w:rFonts w:ascii="Liberation Serif" w:hAnsi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</w:t>
      </w:r>
      <w:r>
        <w:rPr>
          <w:rFonts w:ascii="Liberation Serif" w:hAnsi="Liberation Serif"/>
          <w:sz w:val="28"/>
          <w:szCs w:val="28"/>
        </w:rPr>
        <w:t>обах их соблюдения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56CCB" w:rsidRDefault="009D08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Задачами профилактической работы являются</w:t>
      </w:r>
    </w:p>
    <w:p w:rsidR="00856CCB" w:rsidRDefault="009D08D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56CCB" w:rsidRDefault="009D08D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выявление причин, факторов и условий, способствующих нарушениям обяз</w:t>
      </w:r>
      <w:r>
        <w:rPr>
          <w:rFonts w:ascii="Liberation Serif" w:hAnsi="Liberation Serif" w:cs="Liberation Serif"/>
          <w:sz w:val="28"/>
          <w:szCs w:val="28"/>
        </w:rPr>
        <w:t>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56CCB" w:rsidRDefault="009D08D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56CCB" w:rsidRDefault="009D08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повышение </w:t>
      </w:r>
      <w:r>
        <w:rPr>
          <w:rFonts w:ascii="Liberation Serif" w:hAnsi="Liberation Serif" w:cs="Liberation Serif"/>
          <w:sz w:val="28"/>
          <w:szCs w:val="28"/>
        </w:rPr>
        <w:t>правосознания и правовой культуры подконтрольных субъектов.</w:t>
      </w:r>
    </w:p>
    <w:p w:rsidR="00856CCB" w:rsidRDefault="00856CC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CCB" w:rsidRDefault="00856CC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6CCB" w:rsidRDefault="009D08DD">
      <w:pPr>
        <w:pStyle w:val="a6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856CCB" w:rsidRDefault="00856CCB">
      <w:pPr>
        <w:pStyle w:val="a6"/>
        <w:ind w:left="36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56CCB" w:rsidRDefault="009D08DD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реализации программы: 2022 год</w:t>
      </w:r>
    </w:p>
    <w:p w:rsidR="00856CCB" w:rsidRDefault="009D08D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осуществлении муниципального земельного контроля могут проводиться следующие </w:t>
      </w:r>
      <w:r>
        <w:rPr>
          <w:rFonts w:ascii="Liberation Serif" w:hAnsi="Liberation Serif"/>
          <w:sz w:val="28"/>
          <w:szCs w:val="28"/>
        </w:rPr>
        <w:t>виды профилактических мероприятий:</w:t>
      </w:r>
    </w:p>
    <w:p w:rsidR="00856CCB" w:rsidRDefault="009D08DD">
      <w:pPr>
        <w:pStyle w:val="a6"/>
        <w:ind w:lef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Информирование;</w:t>
      </w:r>
    </w:p>
    <w:p w:rsidR="00856CCB" w:rsidRDefault="009D08DD">
      <w:pPr>
        <w:pStyle w:val="a6"/>
        <w:ind w:lef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Объявление предостережения о недопустимости нарушения обязательных требований;</w:t>
      </w:r>
    </w:p>
    <w:p w:rsidR="00856CCB" w:rsidRDefault="009D08DD">
      <w:pPr>
        <w:pStyle w:val="a6"/>
        <w:ind w:lef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Консультирование;</w:t>
      </w:r>
    </w:p>
    <w:p w:rsidR="00856CCB" w:rsidRDefault="009D08DD">
      <w:pPr>
        <w:pStyle w:val="a6"/>
        <w:ind w:lef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Обобщение правоприменительной практики.</w:t>
      </w:r>
    </w:p>
    <w:p w:rsidR="00856CCB" w:rsidRDefault="009D08DD">
      <w:pPr>
        <w:widowControl/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 Информирование</w:t>
      </w:r>
      <w:bookmarkStart w:id="3" w:name="dst100511"/>
      <w:bookmarkEnd w:id="3"/>
      <w:r>
        <w:rPr>
          <w:rFonts w:ascii="Liberation Serif" w:hAnsi="Liberation Serif"/>
          <w:sz w:val="28"/>
          <w:szCs w:val="28"/>
        </w:rPr>
        <w:t xml:space="preserve"> осуществляется путем размещения сведений</w:t>
      </w:r>
      <w:r>
        <w:rPr>
          <w:rFonts w:ascii="Liberation Serif" w:hAnsi="Liberation Serif"/>
          <w:sz w:val="28"/>
          <w:szCs w:val="28"/>
        </w:rPr>
        <w:t xml:space="preserve"> по вопросам соблюдения обязательных требований, предусмотренных </w:t>
      </w:r>
      <w:r>
        <w:rPr>
          <w:rFonts w:ascii="Liberation Serif" w:eastAsia="Calibri" w:hAnsi="Liberation Serif"/>
          <w:sz w:val="28"/>
          <w:szCs w:val="28"/>
          <w:lang w:eastAsia="en-US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</w:t>
      </w:r>
      <w:r>
        <w:rPr>
          <w:rFonts w:ascii="Liberation Serif" w:hAnsi="Liberation Serif"/>
          <w:sz w:val="28"/>
          <w:szCs w:val="28"/>
        </w:rPr>
        <w:t>ого округа в сети «Интернет», в средствах массовой информации и в иных формах.</w:t>
      </w:r>
    </w:p>
    <w:p w:rsidR="00856CCB" w:rsidRDefault="009D08DD">
      <w:pPr>
        <w:widowControl/>
        <w:autoSpaceDE w:val="0"/>
        <w:ind w:firstLine="708"/>
        <w:jc w:val="both"/>
      </w:pPr>
      <w:bookmarkStart w:id="4" w:name="dst100512"/>
      <w:bookmarkStart w:id="5" w:name="dst100549"/>
      <w:bookmarkEnd w:id="4"/>
      <w:bookmarkEnd w:id="5"/>
      <w:r>
        <w:rPr>
          <w:rFonts w:ascii="Liberation Serif" w:eastAsia="Calibri" w:hAnsi="Liberation Serif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</w:t>
      </w:r>
      <w:r>
        <w:rPr>
          <w:rFonts w:ascii="Liberation Serif" w:eastAsia="Calibri" w:hAnsi="Liberation Serif"/>
          <w:sz w:val="28"/>
          <w:szCs w:val="28"/>
        </w:rPr>
        <w:t>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</w:t>
      </w:r>
      <w:r>
        <w:rPr>
          <w:rFonts w:ascii="Liberation Serif" w:eastAsia="Calibri" w:hAnsi="Liberation Serif"/>
          <w:sz w:val="28"/>
          <w:szCs w:val="28"/>
        </w:rPr>
        <w:t>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</w:t>
      </w:r>
      <w:r>
        <w:rPr>
          <w:rFonts w:ascii="Liberation Serif" w:hAnsi="Liberation Serif"/>
          <w:sz w:val="28"/>
          <w:szCs w:val="28"/>
        </w:rPr>
        <w:t xml:space="preserve">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</w:t>
      </w:r>
      <w:r>
        <w:rPr>
          <w:rFonts w:ascii="Liberation Serif" w:hAnsi="Liberation Serif"/>
          <w:sz w:val="28"/>
          <w:szCs w:val="28"/>
        </w:rPr>
        <w:t>е не может содержать требование представления контролируемым лицом сведений и документов.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550"/>
      <w:bookmarkStart w:id="7" w:name="dst100551"/>
      <w:bookmarkEnd w:id="6"/>
      <w:bookmarkEnd w:id="7"/>
      <w:r>
        <w:rPr>
          <w:rFonts w:ascii="Liberation Serif" w:hAnsi="Liberation Serif"/>
          <w:sz w:val="28"/>
          <w:szCs w:val="28"/>
        </w:rPr>
        <w:t>Контролируемое лицо вправе после получения предостережения подать в органы муниципального контроля возражение в отношении указанного предостережения.</w:t>
      </w:r>
      <w:bookmarkStart w:id="8" w:name="dst100552"/>
      <w:bookmarkEnd w:id="8"/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9" w:name="dst100045"/>
      <w:bookmarkStart w:id="10" w:name="dst100032"/>
      <w:bookmarkEnd w:id="9"/>
      <w:bookmarkEnd w:id="10"/>
      <w:r>
        <w:rPr>
          <w:rFonts w:ascii="Liberation Serif" w:hAnsi="Liberation Serif"/>
          <w:sz w:val="28"/>
          <w:szCs w:val="28"/>
        </w:rPr>
        <w:t>Возражение расс</w:t>
      </w:r>
      <w:r>
        <w:rPr>
          <w:rFonts w:ascii="Liberation Serif" w:hAnsi="Liberation Serif"/>
          <w:sz w:val="28"/>
          <w:szCs w:val="28"/>
        </w:rPr>
        <w:t>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</w:t>
      </w:r>
      <w:r>
        <w:rPr>
          <w:rFonts w:ascii="Liberation Serif" w:hAnsi="Liberation Serif"/>
          <w:sz w:val="28"/>
          <w:szCs w:val="28"/>
        </w:rPr>
        <w:t>емому лицу ответ, в котором указывает обоснование несогласия с доводами, указанными в возражении.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Органы муниципального контроля осуществляют учет объявленных им предостережений и использует соответствующие данные для проведения контрольных мероприятий.</w:t>
      </w:r>
    </w:p>
    <w:p w:rsidR="00856CCB" w:rsidRDefault="009D08DD">
      <w:pPr>
        <w:widowControl/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нсультирование контролируемых лиц </w:t>
      </w:r>
      <w:r>
        <w:rPr>
          <w:rFonts w:ascii="Liberation Serif" w:eastAsia="Calibri" w:hAnsi="Liberation Serif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контроля, </w:t>
      </w:r>
      <w:r>
        <w:rPr>
          <w:rFonts w:ascii="Liberation Serif" w:hAnsi="Liberation Serif"/>
          <w:sz w:val="28"/>
          <w:szCs w:val="28"/>
        </w:rPr>
        <w:t>проводится в устной и письменной форме без взимания платы.</w:t>
      </w:r>
    </w:p>
    <w:p w:rsidR="00856CCB" w:rsidRDefault="009D08DD">
      <w:pPr>
        <w:widowControl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в устной форме проводится должностными лицами</w:t>
      </w:r>
      <w:r>
        <w:rPr>
          <w:rFonts w:ascii="Liberation Serif" w:hAnsi="Liberation Serif"/>
          <w:sz w:val="28"/>
          <w:szCs w:val="28"/>
        </w:rPr>
        <w:t xml:space="preserve">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856CCB" w:rsidRDefault="009D08D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11" w:name="dst100556"/>
      <w:bookmarkEnd w:id="11"/>
      <w:r>
        <w:rPr>
          <w:rFonts w:ascii="Liberation Serif" w:eastAsia="Calibri" w:hAnsi="Liberation Serif"/>
          <w:sz w:val="28"/>
          <w:szCs w:val="28"/>
        </w:rPr>
        <w:t xml:space="preserve">а) местонахождение, контактные телефоны, адрес официального сайта администрации </w:t>
      </w:r>
      <w:proofErr w:type="spellStart"/>
      <w:r>
        <w:rPr>
          <w:rFonts w:ascii="Liberation Serif" w:eastAsia="Calibri" w:hAnsi="Liberation Serif"/>
          <w:sz w:val="28"/>
          <w:szCs w:val="28"/>
        </w:rPr>
        <w:t>Камышловског</w:t>
      </w:r>
      <w:r>
        <w:rPr>
          <w:rFonts w:ascii="Liberation Serif" w:eastAsia="Calibri" w:hAnsi="Liberation Serif"/>
          <w:sz w:val="28"/>
          <w:szCs w:val="28"/>
        </w:rPr>
        <w:t>о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городского округа в сети «Интернет» и адреса электронной почты;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б) график работы </w:t>
      </w:r>
      <w:r>
        <w:rPr>
          <w:rFonts w:ascii="Liberation Serif" w:eastAsia="Calibri" w:hAnsi="Liberation Serif"/>
          <w:sz w:val="28"/>
          <w:szCs w:val="28"/>
          <w:lang w:eastAsia="en-US"/>
        </w:rPr>
        <w:t>органа муниципального контроля</w:t>
      </w:r>
      <w:r>
        <w:rPr>
          <w:rFonts w:ascii="Liberation Serif" w:eastAsia="Calibri" w:hAnsi="Liberation Serif"/>
          <w:sz w:val="28"/>
          <w:szCs w:val="28"/>
        </w:rPr>
        <w:t>, время приема посетителей;</w:t>
      </w:r>
    </w:p>
    <w:p w:rsidR="00856CCB" w:rsidRDefault="009D08D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в) номера кабинетов, где проводятся прием и информирование посетителей по вопросам осуществления муниципального </w:t>
      </w:r>
      <w:r>
        <w:rPr>
          <w:rFonts w:ascii="Liberation Serif" w:eastAsia="Calibri" w:hAnsi="Liberation Serif"/>
          <w:sz w:val="28"/>
          <w:szCs w:val="28"/>
        </w:rPr>
        <w:t>контроля;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г) перечень </w:t>
      </w:r>
      <w:r>
        <w:rPr>
          <w:rFonts w:ascii="Liberation Serif" w:eastAsia="Calibri" w:hAnsi="Liberation Serif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 w:rsidR="00856CCB" w:rsidRDefault="009D08D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д) перечень актов, содержащих обязательные требования.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</w:t>
      </w:r>
      <w:r>
        <w:rPr>
          <w:rFonts w:ascii="Liberation Serif" w:hAnsi="Liberation Serif"/>
          <w:sz w:val="28"/>
          <w:szCs w:val="28"/>
        </w:rPr>
        <w:t xml:space="preserve">е предоставляется. Контролируемое лицо вправе направить запрос в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 предоставлении письменного ответа в порядке, установленном Федеральным </w:t>
      </w:r>
      <w:hyperlink r:id="rId7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2" w:name="dst100558"/>
      <w:bookmarkStart w:id="13" w:name="dst100559"/>
      <w:bookmarkEnd w:id="12"/>
      <w:bookmarkEnd w:id="13"/>
      <w:r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rFonts w:ascii="Liberation Serif" w:hAnsi="Liberation Serif"/>
          <w:sz w:val="28"/>
          <w:szCs w:val="28"/>
        </w:rPr>
        <w:t>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4" w:name="dst100560"/>
      <w:bookmarkStart w:id="15" w:name="dst100561"/>
      <w:bookmarkStart w:id="16" w:name="dst100562"/>
      <w:bookmarkEnd w:id="14"/>
      <w:bookmarkEnd w:id="15"/>
      <w:bookmarkEnd w:id="16"/>
      <w:r>
        <w:rPr>
          <w:rFonts w:ascii="Liberation Serif" w:hAnsi="Liberation Serif"/>
          <w:sz w:val="28"/>
          <w:szCs w:val="28"/>
        </w:rPr>
        <w:t>Консультирование в письменной форме осуществляется путем направления ответа на письменной обращени</w:t>
      </w:r>
      <w:r>
        <w:rPr>
          <w:rFonts w:ascii="Liberation Serif" w:hAnsi="Liberation Serif"/>
          <w:sz w:val="28"/>
          <w:szCs w:val="28"/>
        </w:rPr>
        <w:t>е контролируемых лиц и их представителей по следующим вопросам: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856CCB" w:rsidRDefault="009D08DD">
      <w:pPr>
        <w:widowControl/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наличие запланированных контрольных мероприятий в отношении объектов контроля, </w:t>
      </w:r>
      <w:r>
        <w:rPr>
          <w:rFonts w:ascii="Liberation Serif" w:hAnsi="Liberation Serif"/>
          <w:sz w:val="28"/>
          <w:szCs w:val="28"/>
        </w:rPr>
        <w:t>принадлежащего или используемого контролируемым лицом.</w:t>
      </w:r>
    </w:p>
    <w:p w:rsidR="00856CCB" w:rsidRDefault="009D08DD">
      <w:pPr>
        <w:shd w:val="clear" w:color="auto" w:fill="FFFFFF"/>
        <w:tabs>
          <w:tab w:val="left" w:pos="1134"/>
        </w:tabs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</w:r>
      <w:r>
        <w:rPr>
          <w:rFonts w:ascii="Liberation Serif" w:hAnsi="Liberation Serif" w:cs="Arial"/>
          <w:color w:val="000000"/>
          <w:sz w:val="28"/>
          <w:szCs w:val="28"/>
        </w:rPr>
        <w:t>и осуществлении муниципального контроля, консультирование по однотипным вопрос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ам, осуществляется посредством размещения на официальном сайте администрации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городского округа в информационно-телекоммуникационной сети Интернет письменного разъяснения, подписанного главой администрации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городского округа.</w:t>
      </w:r>
    </w:p>
    <w:p w:rsidR="00856CCB" w:rsidRDefault="009D08DD">
      <w:pPr>
        <w:widowControl/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Расс</w:t>
      </w:r>
      <w:r>
        <w:rPr>
          <w:rFonts w:ascii="Liberation Serif" w:hAnsi="Liberation Serif"/>
          <w:sz w:val="28"/>
          <w:szCs w:val="28"/>
        </w:rPr>
        <w:t xml:space="preserve">мотрение письменных обращений осуществляется в порядке и сроки, установленные Федеральным законом от </w:t>
      </w:r>
      <w:r>
        <w:rPr>
          <w:rFonts w:ascii="Liberation Serif" w:eastAsia="Calibri" w:hAnsi="Liberation Serif"/>
          <w:sz w:val="28"/>
          <w:szCs w:val="28"/>
        </w:rPr>
        <w:t>02.05.2006 № 59-ФЗ «О порядке рассмотрения обращений граждан Российской Федерации».</w:t>
      </w:r>
    </w:p>
    <w:p w:rsidR="00856CCB" w:rsidRDefault="009D08DD">
      <w:pPr>
        <w:widowControl/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Обобщение правоприменительной практики.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Орган муниципального контроля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существляет обобщение правоприменительной практики </w:t>
      </w:r>
      <w:r>
        <w:rPr>
          <w:rFonts w:eastAsia="Calibri"/>
          <w:sz w:val="28"/>
          <w:szCs w:val="28"/>
          <w:cs/>
          <w:lang w:eastAsia="en-US"/>
        </w:rPr>
        <w:t>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проведения муниципального контроля один раз в год.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</w:t>
      </w:r>
      <w:r>
        <w:rPr>
          <w:rFonts w:ascii="Liberation Serif" w:hAnsi="Liberation Serif" w:cs="Liberation Serif"/>
          <w:sz w:val="28"/>
          <w:szCs w:val="28"/>
        </w:rPr>
        <w:t xml:space="preserve">го контроля (далее – доклад </w:t>
      </w:r>
      <w:r>
        <w:rPr>
          <w:sz w:val="28"/>
          <w:szCs w:val="28"/>
          <w:cs/>
        </w:rPr>
        <w:t>‎</w:t>
      </w:r>
      <w:r>
        <w:rPr>
          <w:rFonts w:ascii="Liberation Serif" w:hAnsi="Liberation Serif" w:cs="Liberation Serif"/>
          <w:sz w:val="28"/>
          <w:szCs w:val="28"/>
        </w:rPr>
        <w:t>о правоприменительной практике).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мероприятиях, профилактических мероприятиях, о результатах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административной и судебной практики.</w:t>
      </w:r>
    </w:p>
    <w:p w:rsidR="00856CCB" w:rsidRDefault="009D08DD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Доклад о правоприменительной практике утверждается главой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(первым заместителем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lastRenderedPageBreak/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округа) и размещается на официальном сайте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</w:t>
      </w:r>
      <w:r>
        <w:rPr>
          <w:rFonts w:ascii="Liberation Serif" w:hAnsi="Liberation Serif" w:cs="Liberation Serif"/>
          <w:sz w:val="28"/>
          <w:szCs w:val="28"/>
        </w:rPr>
        <w:t>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в сети «Интернет» не позднее </w:t>
      </w:r>
      <w:r>
        <w:rPr>
          <w:sz w:val="28"/>
          <w:szCs w:val="28"/>
          <w:cs/>
        </w:rPr>
        <w:t>‎</w:t>
      </w:r>
      <w:r>
        <w:rPr>
          <w:rFonts w:ascii="Liberation Serif" w:hAnsi="Liberation Serif" w:cs="Liberation Serif"/>
          <w:sz w:val="28"/>
          <w:szCs w:val="28"/>
        </w:rPr>
        <w:t>1 марта года, следующего за отчетным.</w:t>
      </w:r>
    </w:p>
    <w:p w:rsidR="00856CCB" w:rsidRDefault="00856CCB">
      <w:pPr>
        <w:widowControl/>
        <w:autoSpaceDE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856CCB" w:rsidRDefault="00856CC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56CCB" w:rsidRDefault="009D08D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План-график профилактических мероприятий</w:t>
      </w:r>
    </w:p>
    <w:p w:rsidR="00856CCB" w:rsidRDefault="00856CC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2628"/>
        <w:gridCol w:w="1946"/>
      </w:tblGrid>
      <w:tr w:rsidR="00856CC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исполнитель- контрольный орган, уполномоченный на пров</w:t>
            </w:r>
            <w:r>
              <w:rPr>
                <w:rFonts w:ascii="Liberation Serif" w:hAnsi="Liberation Serif"/>
                <w:sz w:val="24"/>
                <w:szCs w:val="24"/>
              </w:rPr>
              <w:t>едения муниципального лесного контроля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реализации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Информирование (размещения соответствующих сведений на официальных сайтах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в сети «Интернет», в средствах массовой информации и в иных формах)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округа;</w:t>
            </w:r>
          </w:p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Объявление предостережения (при наличии сведений о готовя</w:t>
            </w:r>
            <w:r>
              <w:rPr>
                <w:rFonts w:ascii="Liberation Serif" w:hAnsi="Liberation Serif"/>
                <w:sz w:val="24"/>
                <w:szCs w:val="24"/>
              </w:rPr>
              <w:t>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тельства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округа;</w:t>
            </w:r>
          </w:p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 по мере необходимости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по обращениям контролируемых лиц и их предс</w:t>
            </w:r>
            <w:r>
              <w:rPr>
                <w:rFonts w:ascii="Liberation Serif" w:hAnsi="Liberation Serif"/>
                <w:sz w:val="24"/>
                <w:szCs w:val="24"/>
              </w:rPr>
              <w:t>тавителей</w:t>
            </w:r>
          </w:p>
          <w:p w:rsidR="00856CCB" w:rsidRDefault="00856CCB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округа;</w:t>
            </w:r>
          </w:p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Обобщение правоприменительной практики</w:t>
            </w:r>
          </w:p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(обобщение практики осуществления муниципального земельного контроля и размещение на официальном сайте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нарушений)</w:t>
            </w:r>
          </w:p>
          <w:p w:rsidR="00856CCB" w:rsidRDefault="00856CCB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округа;</w:t>
            </w:r>
          </w:p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раз в год</w:t>
            </w:r>
          </w:p>
        </w:tc>
      </w:tr>
    </w:tbl>
    <w:p w:rsidR="00856CCB" w:rsidRDefault="00856CC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56CCB" w:rsidRDefault="009D08DD">
      <w:pPr>
        <w:pStyle w:val="a6"/>
        <w:numPr>
          <w:ilvl w:val="0"/>
          <w:numId w:val="3"/>
        </w:numPr>
        <w:jc w:val="both"/>
      </w:pPr>
      <w:r>
        <w:rPr>
          <w:rFonts w:ascii="Liberation Serif" w:hAnsi="Liberation Serif"/>
          <w:b/>
          <w:sz w:val="28"/>
          <w:szCs w:val="28"/>
        </w:rPr>
        <w:t>Показатели результативности и эффективности программы</w:t>
      </w:r>
      <w:r>
        <w:rPr>
          <w:b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</w:t>
      </w:r>
      <w:r>
        <w:rPr>
          <w:rFonts w:ascii="Liberation Serif" w:hAnsi="Liberation Serif"/>
          <w:b/>
          <w:sz w:val="28"/>
          <w:szCs w:val="28"/>
        </w:rPr>
        <w:t xml:space="preserve">льного земельного контроля на 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на 2022 год</w:t>
      </w:r>
    </w:p>
    <w:p w:rsidR="00856CCB" w:rsidRDefault="00856CCB">
      <w:pPr>
        <w:pStyle w:val="a6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9268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167"/>
        <w:gridCol w:w="2519"/>
      </w:tblGrid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проверок </w:t>
            </w:r>
            <w:r>
              <w:rPr>
                <w:rFonts w:ascii="Liberation Serif" w:hAnsi="Liberation Serif"/>
                <w:sz w:val="24"/>
                <w:szCs w:val="24"/>
              </w:rPr>
              <w:t>в отчетном периоде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отчетных периодом, (%)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90%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</w:t>
            </w:r>
            <w:r>
              <w:rPr>
                <w:rFonts w:ascii="Liberation Serif" w:hAnsi="Liberation Serif"/>
                <w:sz w:val="24"/>
                <w:szCs w:val="24"/>
              </w:rPr>
              <w:t>требований, требований, установленных муниципальными правовыми актами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 w:rsidR="00856CCB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недопустимости информации об установленных обязательных требованиях, требованиях, установлен</w:t>
            </w:r>
            <w:r>
              <w:rPr>
                <w:rFonts w:ascii="Liberation Serif" w:hAnsi="Liberation Serif"/>
                <w:sz w:val="24"/>
                <w:szCs w:val="24"/>
              </w:rPr>
              <w:t>ных муниципальными правовыми актами по осуществлению муниципального лесного контроля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B" w:rsidRDefault="009D08DD">
            <w:pPr>
              <w:pStyle w:val="a6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 предыдущим отчетным периодом, (%)</w:t>
            </w:r>
          </w:p>
        </w:tc>
      </w:tr>
    </w:tbl>
    <w:p w:rsidR="00856CCB" w:rsidRDefault="00856CCB">
      <w:pPr>
        <w:pStyle w:val="a6"/>
        <w:ind w:left="360"/>
        <w:jc w:val="both"/>
        <w:rPr>
          <w:rFonts w:ascii="Liberation Serif" w:hAnsi="Liberation Serif"/>
          <w:sz w:val="28"/>
          <w:szCs w:val="28"/>
        </w:rPr>
      </w:pPr>
    </w:p>
    <w:p w:rsidR="00856CCB" w:rsidRDefault="009D08DD">
      <w:pPr>
        <w:pStyle w:val="a6"/>
        <w:ind w:left="36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результативности и эффективности мероприятия Программы за отчетный период размещаются на оф</w:t>
      </w:r>
      <w:r>
        <w:rPr>
          <w:rFonts w:ascii="Liberation Serif" w:hAnsi="Liberation Serif"/>
          <w:sz w:val="28"/>
          <w:szCs w:val="28"/>
        </w:rPr>
        <w:t xml:space="preserve">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сети «Интернет».</w:t>
      </w:r>
    </w:p>
    <w:p w:rsidR="00856CCB" w:rsidRDefault="00856CCB">
      <w:pPr>
        <w:jc w:val="right"/>
        <w:rPr>
          <w:rFonts w:ascii="Liberation Serif" w:hAnsi="Liberation Serif"/>
          <w:sz w:val="28"/>
          <w:szCs w:val="28"/>
        </w:rPr>
      </w:pPr>
    </w:p>
    <w:sectPr w:rsidR="00856CCB">
      <w:headerReference w:type="default" r:id="rId8"/>
      <w:endnotePr>
        <w:numFmt w:val="decimal"/>
      </w:endnotePr>
      <w:pgSz w:w="11907" w:h="16840"/>
      <w:pgMar w:top="720" w:right="851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8DD">
      <w:r>
        <w:separator/>
      </w:r>
    </w:p>
  </w:endnote>
  <w:endnote w:type="continuationSeparator" w:id="0">
    <w:p w:rsidR="00000000" w:rsidRDefault="009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08DD">
      <w:r>
        <w:rPr>
          <w:color w:val="000000"/>
        </w:rPr>
        <w:separator/>
      </w:r>
    </w:p>
  </w:footnote>
  <w:footnote w:type="continuationSeparator" w:id="0">
    <w:p w:rsidR="00000000" w:rsidRDefault="009D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96" w:rsidRDefault="009D08D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3A"/>
    <w:multiLevelType w:val="multilevel"/>
    <w:tmpl w:val="0D5006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29C"/>
    <w:multiLevelType w:val="multilevel"/>
    <w:tmpl w:val="D820D7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856CCB"/>
    <w:rsid w:val="00856CCB"/>
    <w:rsid w:val="009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0C868-CD59-4691-AC5D-86591D8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overflowPunct w:val="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widowControl/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/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customStyle="1" w:styleId="Textbodyindent">
    <w:name w:val="Text body indent"/>
    <w:basedOn w:val="a"/>
    <w:pPr>
      <w:widowControl/>
      <w:tabs>
        <w:tab w:val="left" w:pos="4395"/>
      </w:tabs>
      <w:ind w:firstLine="709"/>
      <w:jc w:val="both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2">
    <w:name w:val="Body Text 2"/>
    <w:basedOn w:val="a"/>
    <w:pPr>
      <w:widowControl/>
    </w:pPr>
    <w:rPr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pt-000003">
    <w:name w:val="pt-000003"/>
    <w:basedOn w:val="a0"/>
  </w:style>
  <w:style w:type="character" w:customStyle="1" w:styleId="pt-a0-000004">
    <w:name w:val="pt-a0-000004"/>
    <w:basedOn w:val="a0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85;&#1086;&#1074;&#1086;&#1077;%20&#1087;&#1086;&#1089;&#1090;&#1072;&#1085;&#1086;&#1074;&#1083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новое%20постановление</Template>
  <TotalTime>72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dc:description/>
  <cp:lastModifiedBy>Юля</cp:lastModifiedBy>
  <cp:revision>1</cp:revision>
  <cp:lastPrinted>2021-09-02T06:33:00Z</cp:lastPrinted>
  <dcterms:created xsi:type="dcterms:W3CDTF">2021-09-16T08:07:00Z</dcterms:created>
  <dcterms:modified xsi:type="dcterms:W3CDTF">2021-09-22T09:18:00Z</dcterms:modified>
</cp:coreProperties>
</file>